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长城小标宋体" w:eastAsia="长城小标宋体"/>
          <w:color w:val="auto"/>
          <w:spacing w:val="-20"/>
          <w:w w:val="70"/>
          <w:sz w:val="24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-284480</wp:posOffset>
                </wp:positionH>
                <wp:positionV relativeFrom="paragraph">
                  <wp:posOffset>1070610</wp:posOffset>
                </wp:positionV>
                <wp:extent cx="6120130" cy="0"/>
                <wp:effectExtent l="0" t="28575" r="13970" b="285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2.4pt;margin-top:84.3pt;height:0pt;width:481.9pt;z-index:251658240;mso-width-relative:page;mso-height-relative:page;" filled="f" stroked="t" coordsize="21600,21600" o:gfxdata="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V7+cj9cAAAALAQAADwAAAAAAAAABACAAAAA4AAAAZHJz&#10;L2Rvd25yZXYueG1sUEsBAhQAFAAAAAgAh07iQBvnIybvAQAAxgMAAA4AAAAAAAAAAQAgAAAAPAEA&#10;AGRycy9lMm9Eb2MueG1sUEsFBgAAAAAGAAYAWQEAAJ0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文星简小标宋" w:eastAsia="文星简小标宋"/>
          <w:color w:val="auto"/>
          <w:spacing w:val="-12"/>
          <w:w w:val="64"/>
          <w:sz w:val="106"/>
          <w:szCs w:val="106"/>
        </w:rPr>
        <w:t>天津市人力资源和社会保障局</w:t>
      </w:r>
    </w:p>
    <w:p>
      <w:pPr>
        <w:ind w:right="-42" w:rightChars="-20" w:firstLine="5280" w:firstLineChars="165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津人</w:t>
      </w:r>
      <w:r>
        <w:rPr>
          <w:rFonts w:hint="eastAsia" w:eastAsia="仿宋_GB2312"/>
          <w:color w:val="000000"/>
          <w:sz w:val="32"/>
          <w:szCs w:val="32"/>
        </w:rPr>
        <w:t>社办函〔</w:t>
      </w:r>
      <w:r>
        <w:rPr>
          <w:rFonts w:eastAsia="仿宋_GB2312"/>
          <w:color w:val="000000"/>
          <w:sz w:val="32"/>
          <w:szCs w:val="32"/>
        </w:rPr>
        <w:t>202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eastAsia="仿宋_GB2312"/>
          <w:color w:val="000000"/>
          <w:sz w:val="32"/>
          <w:szCs w:val="32"/>
        </w:rPr>
        <w:t>〕</w:t>
      </w:r>
      <w:r>
        <w:rPr>
          <w:rFonts w:hint="default" w:eastAsia="仿宋_GB2312"/>
          <w:color w:val="000000"/>
          <w:sz w:val="32"/>
          <w:szCs w:val="32"/>
          <w:lang w:val="en"/>
        </w:rPr>
        <w:t>23</w:t>
      </w:r>
      <w:r>
        <w:rPr>
          <w:rFonts w:hint="eastAsia" w:eastAsia="仿宋_GB2312"/>
          <w:color w:val="000000"/>
          <w:sz w:val="32"/>
          <w:szCs w:val="32"/>
        </w:rPr>
        <w:t>号</w:t>
      </w:r>
    </w:p>
    <w:p>
      <w:pPr>
        <w:pStyle w:val="3"/>
        <w:adjustRightInd w:val="0"/>
        <w:spacing w:line="440" w:lineRule="exact"/>
        <w:rPr>
          <w:rFonts w:hAnsi="宋体" w:eastAsia="仿宋_GB2312"/>
          <w:b/>
          <w:bCs/>
          <w:sz w:val="32"/>
          <w:szCs w:val="44"/>
        </w:rPr>
      </w:pPr>
    </w:p>
    <w:p>
      <w:pPr>
        <w:pStyle w:val="3"/>
        <w:adjustRightInd w:val="0"/>
        <w:spacing w:line="440" w:lineRule="exact"/>
        <w:rPr>
          <w:rFonts w:hAnsi="宋体"/>
          <w:b/>
          <w:bCs/>
          <w:szCs w:val="44"/>
        </w:rPr>
      </w:pPr>
    </w:p>
    <w:p>
      <w:pPr>
        <w:pStyle w:val="3"/>
        <w:adjustRightInd w:val="0"/>
        <w:spacing w:line="600" w:lineRule="exact"/>
        <w:rPr>
          <w:rFonts w:hint="default" w:ascii="Times New Roman" w:hAnsi="Times New Roman" w:eastAsia="文星简小标宋" w:cs="Times New Roman"/>
          <w:b w:val="0"/>
          <w:bCs/>
          <w:color w:val="auto"/>
          <w:szCs w:val="44"/>
        </w:rPr>
      </w:pPr>
      <w:r>
        <w:rPr>
          <w:rFonts w:hint="default" w:ascii="Times New Roman" w:hAnsi="Times New Roman" w:eastAsia="文星简小标宋" w:cs="Times New Roman"/>
          <w:b w:val="0"/>
          <w:bCs/>
          <w:color w:val="auto"/>
          <w:szCs w:val="44"/>
        </w:rPr>
        <w:t>市人社局关于202</w:t>
      </w:r>
      <w:r>
        <w:rPr>
          <w:rFonts w:hint="default" w:ascii="Times New Roman" w:hAnsi="Times New Roman" w:eastAsia="文星简小标宋" w:cs="Times New Roman"/>
          <w:b w:val="0"/>
          <w:bCs/>
          <w:color w:val="auto"/>
          <w:szCs w:val="44"/>
          <w:lang w:val="en" w:eastAsia="zh-CN"/>
        </w:rPr>
        <w:t>3</w:t>
      </w:r>
      <w:r>
        <w:rPr>
          <w:rFonts w:hint="default" w:ascii="Times New Roman" w:hAnsi="Times New Roman" w:eastAsia="文星简小标宋" w:cs="Times New Roman"/>
          <w:b w:val="0"/>
          <w:bCs/>
          <w:color w:val="auto"/>
          <w:szCs w:val="44"/>
        </w:rPr>
        <w:t>年专业技术人员继续教育</w:t>
      </w:r>
    </w:p>
    <w:p>
      <w:pPr>
        <w:pStyle w:val="3"/>
        <w:adjustRightInd w:val="0"/>
        <w:spacing w:line="600" w:lineRule="exact"/>
        <w:rPr>
          <w:rFonts w:hint="default" w:ascii="Times New Roman" w:hAnsi="Times New Roman" w:eastAsia="文星简小标宋" w:cs="Times New Roman"/>
          <w:b w:val="0"/>
          <w:bCs/>
          <w:color w:val="auto"/>
          <w:szCs w:val="44"/>
        </w:rPr>
      </w:pPr>
      <w:r>
        <w:rPr>
          <w:rFonts w:hint="default" w:ascii="Times New Roman" w:hAnsi="Times New Roman" w:eastAsia="文星简小标宋" w:cs="Times New Roman"/>
          <w:b w:val="0"/>
          <w:bCs/>
          <w:color w:val="auto"/>
          <w:szCs w:val="44"/>
        </w:rPr>
        <w:t>公需科目学习有关</w:t>
      </w:r>
      <w:r>
        <w:rPr>
          <w:rFonts w:hint="eastAsia" w:eastAsia="文星简小标宋" w:cs="Times New Roman"/>
          <w:b w:val="0"/>
          <w:bCs/>
          <w:color w:val="auto"/>
          <w:szCs w:val="44"/>
          <w:lang w:val="en-US" w:eastAsia="zh-CN"/>
        </w:rPr>
        <w:t>事项</w:t>
      </w:r>
      <w:r>
        <w:rPr>
          <w:rFonts w:hint="default" w:ascii="Times New Roman" w:hAnsi="Times New Roman" w:eastAsia="文星简小标宋" w:cs="Times New Roman"/>
          <w:b w:val="0"/>
          <w:bCs/>
          <w:color w:val="auto"/>
          <w:szCs w:val="44"/>
        </w:rPr>
        <w:t>的通知</w:t>
      </w:r>
    </w:p>
    <w:p>
      <w:pPr>
        <w:spacing w:line="600" w:lineRule="exact"/>
        <w:rPr>
          <w:rFonts w:hint="default" w:ascii="Times New Roman" w:hAnsi="Times New Roman" w:cs="Times New Roman"/>
          <w:sz w:val="32"/>
          <w:szCs w:val="32"/>
        </w:rPr>
      </w:pPr>
    </w:p>
    <w:p>
      <w:pPr>
        <w:adjustRightInd w:val="0"/>
        <w:spacing w:line="600" w:lineRule="exact"/>
        <w:jc w:val="both"/>
        <w:rPr>
          <w:rFonts w:hint="default" w:ascii="Times New Roman" w:hAnsi="Times New Roman" w:eastAsia="仿宋_GB2312" w:cs="Times New Roman"/>
          <w:color w:val="auto"/>
          <w:sz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</w:rPr>
        <w:t>各区人力资源和社会保障局，各委办局（集团公司）、人民团体、大专院校人力资源（教育）部门，有关单位：</w:t>
      </w:r>
    </w:p>
    <w:p>
      <w:pPr>
        <w:spacing w:line="600" w:lineRule="exact"/>
        <w:ind w:right="-42" w:rightChars="-20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深入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贯彻党的二十大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和市第十二次党代会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精神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进一步提升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我市专业技术人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综合素质，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根据《市人社局关于落实专业技术人才知识更新工程重点任务的通知》（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津人社办函〔202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"/>
        </w:rPr>
        <w:t>620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广泛征集、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论证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，市人社局确定了我市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年专业技术人员继续教育公需科目（以下简称公需科目）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现就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有关事项通知如下：</w:t>
      </w:r>
    </w:p>
    <w:p>
      <w:pPr>
        <w:adjustRightInd w:val="0"/>
        <w:spacing w:line="600" w:lineRule="exact"/>
        <w:ind w:firstLine="640"/>
        <w:jc w:val="both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参加人员</w:t>
      </w:r>
    </w:p>
    <w:p>
      <w:pPr>
        <w:adjustRightInd w:val="0"/>
        <w:spacing w:line="600" w:lineRule="exact"/>
        <w:ind w:firstLine="64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全市各类企事业单位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（含驻津）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及社会团体等组织中在职的专业技术人员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，以及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从事专业技术工作的自由职业者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、新就业形态劳动者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adjustRightInd w:val="0"/>
        <w:spacing w:line="600" w:lineRule="exact"/>
        <w:ind w:firstLine="640"/>
        <w:jc w:val="both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二、时间安排</w:t>
      </w:r>
    </w:p>
    <w:p>
      <w:pPr>
        <w:adjustRightInd w:val="0"/>
        <w:spacing w:line="600" w:lineRule="exact"/>
        <w:ind w:firstLine="64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-246380</wp:posOffset>
                </wp:positionH>
                <wp:positionV relativeFrom="paragraph">
                  <wp:posOffset>621665</wp:posOffset>
                </wp:positionV>
                <wp:extent cx="6120130" cy="0"/>
                <wp:effectExtent l="0" t="28575" r="13970" b="2857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9.4pt;margin-top:48.95pt;height:0pt;width:481.9pt;z-index:251659264;mso-width-relative:page;mso-height-relative:page;" filled="f" stroked="t" coordsize="21600,21600" o:gfxdata="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pPEf6NcAAAAJAQAADwAAAAAAAAABACAAAAA4AAAAZHJz&#10;L2Rvd25yZXYueG1sUEsBAhQAFAAAAAgAh07iQOiVucrvAQAAxgMAAA4AAAAAAAAAAQAgAAAAPAEA&#10;AGRycy9lMm9Eb2MueG1sUEsFBgAAAAAGAAYAWQEAAJ0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公需科目学习时间为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年全年。</w:t>
      </w:r>
    </w:p>
    <w:p>
      <w:pPr>
        <w:adjustRightInd w:val="0"/>
        <w:spacing w:line="600" w:lineRule="exact"/>
        <w:ind w:firstLine="640"/>
        <w:jc w:val="both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sectPr>
          <w:footerReference r:id="rId3" w:type="default"/>
          <w:footerReference r:id="rId4" w:type="even"/>
          <w:pgSz w:w="11906" w:h="16838"/>
          <w:pgMar w:top="1440" w:right="1531" w:bottom="1440" w:left="1531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pacing w:line="600" w:lineRule="exact"/>
        <w:ind w:firstLine="640"/>
        <w:jc w:val="both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、学时规定</w:t>
      </w:r>
    </w:p>
    <w:p>
      <w:pPr>
        <w:adjustRightInd w:val="0"/>
        <w:spacing w:line="600" w:lineRule="exact"/>
        <w:ind w:firstLine="640"/>
        <w:jc w:val="both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专业技术人员全年需完成公需科目32学时，其中，必修课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学时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选修课2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学时。</w:t>
      </w:r>
    </w:p>
    <w:p>
      <w:pPr>
        <w:adjustRightInd w:val="0"/>
        <w:spacing w:line="600" w:lineRule="exact"/>
        <w:ind w:firstLine="640"/>
        <w:jc w:val="both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、学习内容和方式</w:t>
      </w:r>
    </w:p>
    <w:p>
      <w:pPr>
        <w:adjustRightInd w:val="0"/>
        <w:spacing w:line="600" w:lineRule="exact"/>
        <w:ind w:firstLine="64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必修课为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门，选修课为京津冀协同发展纵深推进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、制造业高质量发展、科教兴市人才强市、港产城融合发展、滨海新区高质量发展示范引领、中心城区更新提升、乡村振兴全面推进、绿色低碳发展、高品质生活创造、党建引领基层治理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类</w:t>
      </w:r>
      <w:r>
        <w:rPr>
          <w:rFonts w:hint="default" w:eastAsia="仿宋_GB2312" w:cs="Times New Roman"/>
          <w:color w:val="auto"/>
          <w:sz w:val="32"/>
          <w:szCs w:val="32"/>
          <w:lang w:val="en" w:eastAsia="zh-CN"/>
        </w:rPr>
        <w:t>42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门，详见《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年天津市专业技术人员继续教育公需科目指导目录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》（附件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）。</w:t>
      </w:r>
    </w:p>
    <w:p>
      <w:pPr>
        <w:adjustRightInd w:val="0"/>
        <w:spacing w:line="600" w:lineRule="exact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必修课可登录天津市专业技术人员继续教育网（网址：http://tjjxjy.chinahrt.com，以下简称继续教育网）进行免费学习，考核合格后取得相应学时；选修课可在继续教育网自主选课开展学习，也可参加由本区、本系统或本单位组织的符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选修课范围的课程。</w:t>
      </w:r>
    </w:p>
    <w:p>
      <w:pPr>
        <w:adjustRightInd w:val="0"/>
        <w:spacing w:line="600" w:lineRule="exact"/>
        <w:ind w:firstLine="640"/>
        <w:jc w:val="both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五、有关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事宜</w:t>
      </w:r>
    </w:p>
    <w:p>
      <w:pPr>
        <w:adjustRightInd w:val="0"/>
        <w:spacing w:line="600" w:lineRule="exact"/>
        <w:ind w:firstLine="640"/>
        <w:jc w:val="both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公需科目学习是专业技术人员继续教育的重要内容。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全年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专业技术人员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继续教育学习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方面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未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按要求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足额完成公需科目学时的，视为不符合继续教育学习要求。专业技术人员完成公需科目学习后，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应按规定及时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进行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学时登记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详见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" w:eastAsia="zh-CN"/>
        </w:rPr>
        <w:t>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天津市专业技术人员继续教育学时年度登记表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" w:eastAsia="zh-CN"/>
        </w:rPr>
        <w:t>》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），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在职称申报时作为佐证材料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adjustRightInd w:val="0"/>
        <w:spacing w:line="600" w:lineRule="exact"/>
        <w:ind w:firstLine="640"/>
        <w:jc w:val="both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二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未完成201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年至20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继续教育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公需科目学习任务的专业技术人员，202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年仍可通过继续教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育网“补学窗口”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学习，完成学习任务并经考核合格后，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计入补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学年份公需科目学时，从继续教育网打印培训合格证书。自202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年起，不再开展201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及以前各年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度公需科目补学。</w:t>
      </w:r>
    </w:p>
    <w:p>
      <w:pPr>
        <w:adjustRightInd w:val="0"/>
        <w:spacing w:line="600" w:lineRule="exact"/>
        <w:ind w:firstLine="64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）公需科目培训相关费用，可按国家有关规定从单位职工教育培训经费中列支。</w:t>
      </w:r>
    </w:p>
    <w:p>
      <w:pPr>
        <w:adjustRightInd w:val="0"/>
        <w:spacing w:line="600" w:lineRule="exact"/>
        <w:ind w:firstLine="64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本通知自印发之日起施行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。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2023年1月1日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之前已选但未修完的课程不结转计入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年度公需科目学时。</w:t>
      </w:r>
    </w:p>
    <w:p>
      <w:pPr>
        <w:adjustRightInd w:val="0"/>
        <w:spacing w:line="600" w:lineRule="exact"/>
        <w:ind w:firstLine="64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adjustRightInd w:val="0"/>
        <w:spacing w:line="600" w:lineRule="exact"/>
        <w:ind w:firstLine="640"/>
        <w:jc w:val="both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联系部门：市人社局专业技术人员管理处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闵瑞琛</w:t>
      </w:r>
    </w:p>
    <w:p>
      <w:pPr>
        <w:pStyle w:val="2"/>
        <w:spacing w:line="600" w:lineRule="exact"/>
        <w:jc w:val="both"/>
        <w:rPr>
          <w:rFonts w:hint="default" w:ascii="Times New Roman" w:hAnsi="Times New Roman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联系电话：022-83218426</w:t>
      </w:r>
    </w:p>
    <w:p>
      <w:pPr>
        <w:adjustRightInd w:val="0"/>
        <w:spacing w:line="600" w:lineRule="exact"/>
        <w:ind w:firstLine="64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adjustRightInd w:val="0"/>
        <w:spacing w:line="600" w:lineRule="exact"/>
        <w:ind w:left="1560" w:hanging="922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附件：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年天津市专业技术人员继续教育公需科目指</w:t>
      </w:r>
    </w:p>
    <w:p>
      <w:pPr>
        <w:adjustRightInd w:val="0"/>
        <w:spacing w:line="600" w:lineRule="exact"/>
        <w:ind w:left="1560" w:hanging="922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导目录</w:t>
      </w:r>
    </w:p>
    <w:p>
      <w:pPr>
        <w:numPr>
          <w:ilvl w:val="0"/>
          <w:numId w:val="1"/>
        </w:numPr>
        <w:adjustRightInd w:val="0"/>
        <w:spacing w:line="600" w:lineRule="exact"/>
        <w:ind w:left="1600" w:firstLine="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天津市专业技术人员继续教育学时年度登记表</w:t>
      </w:r>
    </w:p>
    <w:p>
      <w:pPr>
        <w:adjustRightInd w:val="0"/>
        <w:spacing w:line="600" w:lineRule="exact"/>
        <w:ind w:firstLine="64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2"/>
        <w:rPr>
          <w:rFonts w:hint="default"/>
        </w:rPr>
      </w:pPr>
    </w:p>
    <w:p>
      <w:pPr>
        <w:spacing w:line="600" w:lineRule="exact"/>
        <w:ind w:firstLine="5018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600" w:lineRule="exact"/>
        <w:ind w:firstLine="4160" w:firstLineChars="13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年1月</w:t>
      </w:r>
      <w:r>
        <w:rPr>
          <w:rFonts w:hint="default" w:eastAsia="仿宋_GB2312" w:cs="Times New Roman"/>
          <w:color w:val="auto"/>
          <w:sz w:val="32"/>
          <w:szCs w:val="32"/>
          <w:lang w:val="en" w:eastAsia="zh-CN"/>
        </w:rPr>
        <w:t>16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</w:t>
      </w:r>
    </w:p>
    <w:p>
      <w:pPr>
        <w:spacing w:line="6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（此件主动公开）</w:t>
      </w:r>
    </w:p>
    <w:p>
      <w:pPr>
        <w:spacing w:line="600" w:lineRule="exact"/>
        <w:rPr>
          <w:rFonts w:hint="default" w:ascii="Times New Roman" w:hAnsi="Times New Roman" w:cs="Times New Roman"/>
        </w:rPr>
      </w:pPr>
    </w:p>
    <w:p>
      <w:pPr>
        <w:pStyle w:val="2"/>
        <w:spacing w:line="600" w:lineRule="exact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  <w:lang w:val="en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" w:eastAsia="zh-CN"/>
        </w:rPr>
        <w:br w:type="page"/>
      </w:r>
    </w:p>
    <w:p>
      <w:pPr>
        <w:spacing w:line="60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eastAsia="黑体" w:cs="Times New Roman"/>
          <w:sz w:val="32"/>
          <w:szCs w:val="32"/>
          <w:lang w:val="en" w:eastAsia="zh-CN"/>
        </w:rPr>
        <w:t>附件</w:t>
      </w:r>
      <w:r>
        <w:rPr>
          <w:rFonts w:hint="default" w:eastAsia="黑体" w:cs="Times New Roman"/>
          <w:sz w:val="32"/>
          <w:szCs w:val="32"/>
          <w:lang w:val="en-US" w:eastAsia="zh-CN"/>
        </w:rPr>
        <w:t>1</w:t>
      </w:r>
    </w:p>
    <w:p>
      <w:pPr>
        <w:widowControl/>
        <w:wordWrap/>
        <w:snapToGrid/>
        <w:spacing w:line="240" w:lineRule="auto"/>
        <w:rPr>
          <w:rFonts w:hAnsi="Times New Roman" w:eastAsia="黑体"/>
          <w:color w:val="000000"/>
          <w:kern w:val="0"/>
          <w:sz w:val="32"/>
          <w:szCs w:val="32"/>
        </w:rPr>
      </w:pPr>
    </w:p>
    <w:p>
      <w:pPr>
        <w:widowControl/>
        <w:wordWrap w:val="0"/>
        <w:snapToGrid w:val="0"/>
        <w:spacing w:line="600" w:lineRule="exact"/>
        <w:jc w:val="center"/>
        <w:rPr>
          <w:rFonts w:hAnsi="Times New Roman" w:eastAsia="文星简小标宋"/>
          <w:color w:val="000000"/>
          <w:kern w:val="0"/>
          <w:sz w:val="44"/>
          <w:szCs w:val="44"/>
        </w:rPr>
      </w:pPr>
      <w:r>
        <w:rPr>
          <w:rFonts w:hAnsi="Times New Roman" w:eastAsia="文星简小标宋"/>
          <w:color w:val="000000"/>
          <w:kern w:val="0"/>
          <w:sz w:val="44"/>
          <w:szCs w:val="44"/>
        </w:rPr>
        <w:t>20</w:t>
      </w:r>
      <w:r>
        <w:rPr>
          <w:rFonts w:hint="eastAsia" w:hAnsi="Times New Roman" w:eastAsia="文星简小标宋"/>
          <w:color w:val="000000"/>
          <w:kern w:val="0"/>
          <w:sz w:val="44"/>
          <w:szCs w:val="44"/>
          <w:lang w:val="en-US" w:eastAsia="zh-CN"/>
        </w:rPr>
        <w:t>23</w:t>
      </w:r>
      <w:r>
        <w:rPr>
          <w:rFonts w:hAnsi="Times New Roman" w:eastAsia="文星简小标宋"/>
          <w:color w:val="000000"/>
          <w:kern w:val="0"/>
          <w:sz w:val="44"/>
          <w:szCs w:val="44"/>
        </w:rPr>
        <w:t>年天津市专业技术人员继续教育</w:t>
      </w:r>
    </w:p>
    <w:p>
      <w:pPr>
        <w:widowControl/>
        <w:wordWrap w:val="0"/>
        <w:snapToGrid w:val="0"/>
        <w:spacing w:line="600" w:lineRule="exact"/>
        <w:jc w:val="center"/>
        <w:rPr>
          <w:rFonts w:hAnsi="Times New Roman" w:eastAsia="文星简小标宋"/>
          <w:color w:val="000000"/>
          <w:kern w:val="0"/>
          <w:sz w:val="44"/>
          <w:szCs w:val="44"/>
        </w:rPr>
      </w:pPr>
      <w:r>
        <w:rPr>
          <w:rFonts w:hAnsi="Times New Roman" w:eastAsia="文星简小标宋"/>
          <w:color w:val="000000"/>
          <w:kern w:val="0"/>
          <w:sz w:val="44"/>
          <w:szCs w:val="44"/>
        </w:rPr>
        <w:t>公需科目指导目录</w:t>
      </w:r>
    </w:p>
    <w:p>
      <w:pPr>
        <w:widowControl/>
        <w:wordWrap w:val="0"/>
        <w:spacing w:line="600" w:lineRule="exact"/>
        <w:ind w:firstLine="640"/>
        <w:jc w:val="left"/>
        <w:rPr>
          <w:rFonts w:hint="eastAsia" w:hAnsi="Times New Roman" w:eastAsia="黑体"/>
          <w:color w:val="000000"/>
          <w:kern w:val="0"/>
          <w:sz w:val="32"/>
          <w:szCs w:val="32"/>
        </w:rPr>
      </w:pPr>
    </w:p>
    <w:p>
      <w:pPr>
        <w:widowControl/>
        <w:wordWrap w:val="0"/>
        <w:spacing w:line="600" w:lineRule="exact"/>
        <w:ind w:firstLine="640"/>
        <w:jc w:val="left"/>
        <w:rPr>
          <w:rFonts w:hint="eastAsia" w:hAnsi="Times New Roman" w:eastAsia="黑体"/>
          <w:color w:val="000000"/>
          <w:kern w:val="0"/>
          <w:sz w:val="32"/>
          <w:szCs w:val="32"/>
          <w:lang w:eastAsia="zh-CN"/>
        </w:rPr>
      </w:pPr>
      <w:r>
        <w:rPr>
          <w:rFonts w:hint="eastAsia" w:hAnsi="Times New Roman" w:eastAsia="黑体"/>
          <w:color w:val="000000"/>
          <w:kern w:val="0"/>
          <w:sz w:val="32"/>
          <w:szCs w:val="32"/>
          <w:lang w:eastAsia="zh-CN"/>
        </w:rPr>
        <w:t>一、</w:t>
      </w:r>
      <w:r>
        <w:rPr>
          <w:rFonts w:hAnsi="Times New Roman" w:eastAsia="黑体"/>
          <w:color w:val="000000"/>
          <w:kern w:val="0"/>
          <w:sz w:val="32"/>
          <w:szCs w:val="32"/>
        </w:rPr>
        <w:t>必修课</w:t>
      </w:r>
      <w:r>
        <w:rPr>
          <w:rFonts w:hint="eastAsia" w:hAnsi="Times New Roman" w:eastAsia="黑体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hAnsi="Times New Roman" w:eastAsia="黑体"/>
          <w:color w:val="000000"/>
          <w:kern w:val="0"/>
          <w:sz w:val="32"/>
          <w:szCs w:val="32"/>
          <w:lang w:val="en-US" w:eastAsia="zh-CN"/>
        </w:rPr>
        <w:t>3门</w:t>
      </w:r>
      <w:r>
        <w:rPr>
          <w:rFonts w:hint="eastAsia" w:hAnsi="Times New Roman" w:eastAsia="黑体"/>
          <w:color w:val="000000"/>
          <w:kern w:val="0"/>
          <w:sz w:val="32"/>
          <w:szCs w:val="32"/>
          <w:lang w:eastAsia="zh-CN"/>
        </w:rPr>
        <w:t>）</w:t>
      </w:r>
    </w:p>
    <w:p>
      <w:pPr>
        <w:widowControl/>
        <w:wordWrap w:val="0"/>
        <w:spacing w:line="600" w:lineRule="exact"/>
        <w:ind w:firstLine="640"/>
        <w:jc w:val="left"/>
        <w:rPr>
          <w:rFonts w:hint="eastAsia" w:hAnsi="Times New Roman" w:eastAsia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  <w:lang w:eastAsia="zh-CN"/>
        </w:rPr>
        <w:t>（一）加快构建新发展格局</w:t>
      </w:r>
      <w:r>
        <w:rPr>
          <w:rFonts w:hint="eastAsia" w:hAnsi="Times New Roman" w:eastAsia="仿宋_GB2312"/>
          <w:color w:val="000000"/>
          <w:kern w:val="0"/>
          <w:sz w:val="32"/>
          <w:szCs w:val="32"/>
          <w:lang w:val="en-US" w:eastAsia="zh-CN"/>
        </w:rPr>
        <w:t>，</w:t>
      </w:r>
      <w:r>
        <w:rPr>
          <w:rFonts w:hint="eastAsia" w:hAnsi="Times New Roman" w:eastAsia="仿宋_GB2312"/>
          <w:color w:val="000000"/>
          <w:kern w:val="0"/>
          <w:sz w:val="32"/>
          <w:szCs w:val="32"/>
          <w:lang w:eastAsia="zh-CN"/>
        </w:rPr>
        <w:t>着力推动高质量发展</w:t>
      </w:r>
    </w:p>
    <w:p>
      <w:pPr>
        <w:widowControl/>
        <w:wordWrap w:val="0"/>
        <w:spacing w:line="600" w:lineRule="exact"/>
        <w:ind w:firstLine="640"/>
        <w:jc w:val="left"/>
        <w:rPr>
          <w:rFonts w:hint="eastAsia" w:hAnsi="Times New Roman" w:eastAsia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  <w:lang w:eastAsia="zh-CN"/>
        </w:rPr>
        <w:t>（二）学习新思想</w:t>
      </w:r>
      <w:r>
        <w:rPr>
          <w:rFonts w:hint="eastAsia" w:hAnsi="Times New Roman" w:eastAsia="仿宋_GB2312"/>
          <w:color w:val="000000"/>
          <w:kern w:val="0"/>
          <w:sz w:val="32"/>
          <w:szCs w:val="32"/>
          <w:lang w:val="en-US" w:eastAsia="zh-CN"/>
        </w:rPr>
        <w:t>，</w:t>
      </w:r>
      <w:r>
        <w:rPr>
          <w:rFonts w:hint="eastAsia" w:hAnsi="Times New Roman" w:eastAsia="仿宋_GB2312"/>
          <w:color w:val="000000"/>
          <w:kern w:val="0"/>
          <w:sz w:val="32"/>
          <w:szCs w:val="32"/>
          <w:lang w:eastAsia="zh-CN"/>
        </w:rPr>
        <w:t>奋进新征程</w:t>
      </w:r>
    </w:p>
    <w:p>
      <w:pPr>
        <w:widowControl/>
        <w:wordWrap w:val="0"/>
        <w:spacing w:line="600" w:lineRule="exact"/>
        <w:ind w:firstLine="640"/>
        <w:jc w:val="left"/>
        <w:rPr>
          <w:rFonts w:hint="eastAsia" w:hAnsi="Times New Roman" w:eastAsia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  <w:lang w:eastAsia="zh-CN"/>
        </w:rPr>
        <w:t>（三）坚持全面依法治国</w:t>
      </w:r>
      <w:r>
        <w:rPr>
          <w:rFonts w:hint="eastAsia" w:hAnsi="Times New Roman" w:eastAsia="仿宋_GB2312"/>
          <w:color w:val="000000"/>
          <w:kern w:val="0"/>
          <w:sz w:val="32"/>
          <w:szCs w:val="32"/>
          <w:lang w:val="en-US" w:eastAsia="zh-CN"/>
        </w:rPr>
        <w:t>，</w:t>
      </w:r>
      <w:r>
        <w:rPr>
          <w:rFonts w:hint="eastAsia" w:hAnsi="Times New Roman" w:eastAsia="仿宋_GB2312"/>
          <w:color w:val="000000"/>
          <w:kern w:val="0"/>
          <w:sz w:val="32"/>
          <w:szCs w:val="32"/>
          <w:lang w:eastAsia="zh-CN"/>
        </w:rPr>
        <w:t>推进法治中国建设</w:t>
      </w:r>
    </w:p>
    <w:p>
      <w:pPr>
        <w:widowControl/>
        <w:wordWrap w:val="0"/>
        <w:spacing w:line="600" w:lineRule="exact"/>
        <w:ind w:firstLine="640"/>
        <w:jc w:val="left"/>
        <w:rPr>
          <w:rFonts w:hAnsi="Times New Roman" w:eastAsia="黑体"/>
          <w:color w:val="000000"/>
          <w:kern w:val="0"/>
          <w:sz w:val="32"/>
          <w:szCs w:val="32"/>
        </w:rPr>
      </w:pPr>
      <w:r>
        <w:rPr>
          <w:rFonts w:hint="eastAsia" w:hAnsi="Times New Roman" w:eastAsia="黑体"/>
          <w:color w:val="000000"/>
          <w:kern w:val="0"/>
          <w:sz w:val="32"/>
          <w:szCs w:val="32"/>
          <w:lang w:eastAsia="zh-CN"/>
        </w:rPr>
        <w:t>二、</w:t>
      </w:r>
      <w:r>
        <w:rPr>
          <w:rFonts w:hAnsi="Times New Roman" w:eastAsia="黑体"/>
          <w:color w:val="000000"/>
          <w:kern w:val="0"/>
          <w:sz w:val="32"/>
          <w:szCs w:val="32"/>
        </w:rPr>
        <w:t>选修课（</w:t>
      </w:r>
      <w:r>
        <w:rPr>
          <w:rFonts w:hint="default" w:hAnsi="Times New Roman" w:eastAsia="黑体"/>
          <w:color w:val="000000"/>
          <w:kern w:val="0"/>
          <w:sz w:val="32"/>
          <w:szCs w:val="32"/>
          <w:lang w:val="en" w:eastAsia="zh-CN"/>
        </w:rPr>
        <w:t>42</w:t>
      </w:r>
      <w:r>
        <w:rPr>
          <w:rFonts w:hint="eastAsia" w:hAnsi="Times New Roman" w:eastAsia="黑体"/>
          <w:color w:val="000000"/>
          <w:kern w:val="0"/>
          <w:sz w:val="32"/>
          <w:szCs w:val="32"/>
          <w:lang w:eastAsia="zh-CN"/>
        </w:rPr>
        <w:t>门</w:t>
      </w:r>
      <w:r>
        <w:rPr>
          <w:rFonts w:hAnsi="Times New Roman" w:eastAsia="黑体"/>
          <w:color w:val="000000"/>
          <w:kern w:val="0"/>
          <w:sz w:val="32"/>
          <w:szCs w:val="32"/>
        </w:rPr>
        <w:t>）</w:t>
      </w:r>
    </w:p>
    <w:p>
      <w:pPr>
        <w:widowControl/>
        <w:wordWrap w:val="0"/>
        <w:spacing w:line="600" w:lineRule="exact"/>
        <w:ind w:firstLine="640"/>
        <w:jc w:val="left"/>
        <w:rPr>
          <w:rFonts w:hint="eastAsia" w:hAnsi="Times New Roman" w:eastAsia="楷体_GB2312"/>
          <w:color w:val="000000"/>
          <w:kern w:val="0"/>
          <w:sz w:val="32"/>
          <w:szCs w:val="32"/>
        </w:rPr>
      </w:pPr>
      <w:r>
        <w:rPr>
          <w:rFonts w:hint="eastAsia" w:hAnsi="Times New Roman" w:eastAsia="楷体_GB2312"/>
          <w:color w:val="000000"/>
          <w:kern w:val="0"/>
          <w:sz w:val="32"/>
          <w:szCs w:val="32"/>
        </w:rPr>
        <w:t>（一）京津冀协同发展纵深推进（4门）</w:t>
      </w:r>
    </w:p>
    <w:p>
      <w:pPr>
        <w:widowControl/>
        <w:wordWrap w:val="0"/>
        <w:spacing w:line="600" w:lineRule="exact"/>
        <w:ind w:firstLine="640"/>
        <w:jc w:val="left"/>
        <w:rPr>
          <w:rFonts w:hint="eastAsia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hAnsi="Times New Roman" w:eastAsia="楷体_GB2312"/>
          <w:color w:val="000000"/>
          <w:kern w:val="0"/>
          <w:sz w:val="32"/>
          <w:szCs w:val="32"/>
        </w:rPr>
        <w:t xml:space="preserve">1. </w:t>
      </w:r>
      <w:r>
        <w:rPr>
          <w:rFonts w:hint="eastAsia" w:hAnsi="Times New Roman" w:eastAsia="仿宋_GB2312"/>
          <w:color w:val="000000"/>
          <w:kern w:val="0"/>
          <w:sz w:val="32"/>
          <w:szCs w:val="32"/>
        </w:rPr>
        <w:t>深入推进京津冀协同发展</w:t>
      </w:r>
    </w:p>
    <w:p>
      <w:pPr>
        <w:widowControl/>
        <w:wordWrap w:val="0"/>
        <w:spacing w:line="600" w:lineRule="exact"/>
        <w:ind w:firstLine="640"/>
        <w:jc w:val="left"/>
        <w:rPr>
          <w:rFonts w:hint="eastAsia" w:hAnsi="Times New Roman" w:eastAsia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  <w:highlight w:val="none"/>
        </w:rPr>
        <w:t>2. 京津冀协同发展打造世界级城市群</w:t>
      </w:r>
    </w:p>
    <w:p>
      <w:pPr>
        <w:widowControl/>
        <w:wordWrap w:val="0"/>
        <w:spacing w:line="600" w:lineRule="exact"/>
        <w:ind w:firstLine="640"/>
        <w:jc w:val="left"/>
        <w:rPr>
          <w:rFonts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  <w:highlight w:val="none"/>
        </w:rPr>
        <w:t>3. 京津冀产业协同发展的进展与成就</w:t>
      </w:r>
    </w:p>
    <w:p>
      <w:pPr>
        <w:widowControl/>
        <w:wordWrap w:val="0"/>
        <w:spacing w:line="600" w:lineRule="exact"/>
        <w:ind w:firstLine="640"/>
        <w:jc w:val="left"/>
        <w:rPr>
          <w:rFonts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</w:rPr>
        <w:t>4. 构建更加有效的区域协调发展新机制</w:t>
      </w:r>
    </w:p>
    <w:p>
      <w:pPr>
        <w:widowControl/>
        <w:wordWrap w:val="0"/>
        <w:spacing w:line="600" w:lineRule="exact"/>
        <w:ind w:firstLine="640"/>
        <w:jc w:val="left"/>
        <w:rPr>
          <w:rFonts w:hint="eastAsia" w:hAnsi="Times New Roman" w:eastAsia="楷体_GB2312"/>
          <w:color w:val="000000"/>
          <w:kern w:val="0"/>
          <w:sz w:val="32"/>
          <w:szCs w:val="32"/>
        </w:rPr>
      </w:pPr>
      <w:r>
        <w:rPr>
          <w:rFonts w:hint="eastAsia" w:hAnsi="Times New Roman" w:eastAsia="楷体_GB2312"/>
          <w:color w:val="000000"/>
          <w:kern w:val="0"/>
          <w:sz w:val="32"/>
          <w:szCs w:val="32"/>
        </w:rPr>
        <w:t>（二）制造业高质量发展（4门）</w:t>
      </w:r>
    </w:p>
    <w:p>
      <w:pPr>
        <w:widowControl/>
        <w:wordWrap w:val="0"/>
        <w:spacing w:line="600" w:lineRule="exact"/>
        <w:ind w:firstLine="640"/>
        <w:jc w:val="left"/>
        <w:rPr>
          <w:rFonts w:hint="eastAsia" w:hAnsi="Times New Roman" w:eastAsia="楷体_GB2312"/>
          <w:color w:val="000000"/>
          <w:kern w:val="0"/>
          <w:sz w:val="32"/>
          <w:szCs w:val="32"/>
        </w:rPr>
      </w:pPr>
      <w:r>
        <w:rPr>
          <w:rFonts w:hint="eastAsia" w:hAnsi="Times New Roman" w:eastAsia="楷体_GB2312"/>
          <w:color w:val="000000"/>
          <w:kern w:val="0"/>
          <w:sz w:val="32"/>
          <w:szCs w:val="32"/>
        </w:rPr>
        <w:t>1.</w:t>
      </w:r>
      <w:r>
        <w:rPr>
          <w:rFonts w:hint="eastAsia" w:hAnsi="Times New Roman" w:eastAsia="仿宋_GB2312"/>
          <w:color w:val="000000"/>
          <w:kern w:val="0"/>
          <w:sz w:val="32"/>
          <w:szCs w:val="32"/>
        </w:rPr>
        <w:t xml:space="preserve"> 建设制造强国</w:t>
      </w:r>
    </w:p>
    <w:p>
      <w:pPr>
        <w:widowControl/>
        <w:wordWrap w:val="0"/>
        <w:spacing w:line="600" w:lineRule="exact"/>
        <w:ind w:firstLine="640" w:firstLineChars="200"/>
        <w:jc w:val="left"/>
        <w:rPr>
          <w:rFonts w:hint="eastAsia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hAnsi="Times New Roman" w:eastAsia="楷体_GB2312"/>
          <w:color w:val="000000"/>
          <w:kern w:val="0"/>
          <w:sz w:val="32"/>
          <w:szCs w:val="32"/>
        </w:rPr>
        <w:t>2.</w:t>
      </w:r>
      <w:r>
        <w:rPr>
          <w:rFonts w:hint="eastAsia" w:hAnsi="Times New Roman" w:eastAsia="仿宋_GB2312"/>
          <w:color w:val="000000"/>
          <w:kern w:val="0"/>
          <w:sz w:val="32"/>
          <w:szCs w:val="32"/>
        </w:rPr>
        <w:t xml:space="preserve"> 数字化转型与智能制造</w:t>
      </w:r>
    </w:p>
    <w:p>
      <w:pPr>
        <w:widowControl/>
        <w:wordWrap w:val="0"/>
        <w:spacing w:line="600" w:lineRule="exact"/>
        <w:ind w:firstLine="640"/>
        <w:jc w:val="left"/>
        <w:rPr>
          <w:rFonts w:hint="eastAsia" w:hAnsi="Times New Roman" w:eastAsia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  <w:highlight w:val="none"/>
        </w:rPr>
        <w:t>3. 绿色制造发展及应用</w:t>
      </w:r>
    </w:p>
    <w:p>
      <w:pPr>
        <w:widowControl/>
        <w:wordWrap w:val="0"/>
        <w:spacing w:line="600" w:lineRule="exact"/>
        <w:ind w:firstLine="640"/>
        <w:jc w:val="left"/>
        <w:rPr>
          <w:rFonts w:hint="eastAsia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</w:rPr>
        <w:t>4. 5G技术及其应用</w:t>
      </w:r>
    </w:p>
    <w:p>
      <w:pPr>
        <w:widowControl/>
        <w:wordWrap w:val="0"/>
        <w:spacing w:line="600" w:lineRule="exact"/>
        <w:ind w:firstLine="640"/>
        <w:jc w:val="left"/>
        <w:rPr>
          <w:rFonts w:hint="eastAsia" w:hAnsi="Times New Roman" w:eastAsia="楷体_GB2312"/>
          <w:color w:val="000000"/>
          <w:kern w:val="0"/>
          <w:sz w:val="32"/>
          <w:szCs w:val="32"/>
        </w:rPr>
      </w:pPr>
      <w:r>
        <w:rPr>
          <w:rFonts w:hint="eastAsia" w:hAnsi="Times New Roman" w:eastAsia="楷体_GB2312"/>
          <w:color w:val="000000"/>
          <w:kern w:val="0"/>
          <w:sz w:val="32"/>
          <w:szCs w:val="32"/>
        </w:rPr>
        <w:t>（三）科教兴市人才强市（4门）</w:t>
      </w:r>
    </w:p>
    <w:p>
      <w:pPr>
        <w:widowControl/>
        <w:wordWrap w:val="0"/>
        <w:spacing w:line="600" w:lineRule="exact"/>
        <w:ind w:firstLine="640"/>
        <w:jc w:val="left"/>
        <w:rPr>
          <w:rFonts w:hint="eastAsia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hAnsi="Times New Roman" w:eastAsia="楷体_GB2312"/>
          <w:color w:val="000000"/>
          <w:kern w:val="0"/>
          <w:sz w:val="32"/>
          <w:szCs w:val="32"/>
        </w:rPr>
        <w:t xml:space="preserve">1. </w:t>
      </w:r>
      <w:r>
        <w:rPr>
          <w:rFonts w:hint="eastAsia" w:hAnsi="Times New Roman" w:eastAsia="仿宋_GB2312"/>
          <w:color w:val="000000"/>
          <w:kern w:val="0"/>
          <w:sz w:val="32"/>
          <w:szCs w:val="32"/>
        </w:rPr>
        <w:t>新时代我国科技强国建设</w:t>
      </w:r>
    </w:p>
    <w:p>
      <w:pPr>
        <w:widowControl/>
        <w:wordWrap w:val="0"/>
        <w:spacing w:line="600" w:lineRule="exact"/>
        <w:ind w:firstLine="640"/>
        <w:jc w:val="left"/>
        <w:rPr>
          <w:rFonts w:hint="eastAsia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</w:rPr>
        <w:t xml:space="preserve">2. 学习习近平总书记关于教育的重要论述 </w:t>
      </w:r>
    </w:p>
    <w:p>
      <w:pPr>
        <w:widowControl/>
        <w:wordWrap w:val="0"/>
        <w:spacing w:line="600" w:lineRule="exact"/>
        <w:ind w:firstLine="640"/>
        <w:jc w:val="left"/>
        <w:rPr>
          <w:rFonts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</w:rPr>
        <w:t>3. 科技成果转化</w:t>
      </w:r>
    </w:p>
    <w:p>
      <w:pPr>
        <w:widowControl/>
        <w:wordWrap w:val="0"/>
        <w:spacing w:line="600" w:lineRule="exact"/>
        <w:ind w:firstLine="640"/>
        <w:jc w:val="left"/>
        <w:rPr>
          <w:rFonts w:hint="eastAsia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</w:rPr>
        <w:t>4. 数字经济技术技能人才培育</w:t>
      </w:r>
    </w:p>
    <w:p>
      <w:pPr>
        <w:widowControl/>
        <w:wordWrap w:val="0"/>
        <w:spacing w:line="600" w:lineRule="exact"/>
        <w:ind w:firstLine="640"/>
        <w:jc w:val="left"/>
        <w:rPr>
          <w:rFonts w:hint="eastAsia" w:hAnsi="Times New Roman" w:eastAsia="楷体_GB2312"/>
          <w:color w:val="000000"/>
          <w:kern w:val="0"/>
          <w:sz w:val="32"/>
          <w:szCs w:val="32"/>
        </w:rPr>
      </w:pPr>
      <w:r>
        <w:rPr>
          <w:rFonts w:hint="eastAsia" w:hAnsi="Times New Roman" w:eastAsia="楷体_GB2312"/>
          <w:color w:val="000000"/>
          <w:kern w:val="0"/>
          <w:sz w:val="32"/>
          <w:szCs w:val="32"/>
        </w:rPr>
        <w:t>（四）港产城融合发展（4门）</w:t>
      </w:r>
    </w:p>
    <w:p>
      <w:pPr>
        <w:widowControl/>
        <w:wordWrap w:val="0"/>
        <w:spacing w:line="600" w:lineRule="exact"/>
        <w:ind w:firstLine="640"/>
        <w:jc w:val="left"/>
        <w:rPr>
          <w:rFonts w:hint="eastAsia" w:hAnsi="Times New Roman" w:eastAsia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  <w:highlight w:val="none"/>
        </w:rPr>
        <w:t>1. 港产城融合发展</w:t>
      </w:r>
    </w:p>
    <w:p>
      <w:pPr>
        <w:widowControl/>
        <w:wordWrap w:val="0"/>
        <w:spacing w:line="600" w:lineRule="exact"/>
        <w:ind w:firstLine="640"/>
        <w:jc w:val="left"/>
        <w:rPr>
          <w:rFonts w:hint="eastAsia" w:hAnsi="Times New Roman" w:eastAsia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  <w:highlight w:val="none"/>
        </w:rPr>
        <w:t>2. 智慧港口发展现状与展望</w:t>
      </w:r>
    </w:p>
    <w:p>
      <w:pPr>
        <w:widowControl/>
        <w:wordWrap w:val="0"/>
        <w:spacing w:line="600" w:lineRule="exact"/>
        <w:ind w:firstLine="640"/>
        <w:jc w:val="left"/>
        <w:rPr>
          <w:rFonts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</w:rPr>
        <w:t>3. 物流管理</w:t>
      </w:r>
    </w:p>
    <w:p>
      <w:pPr>
        <w:widowControl/>
        <w:wordWrap w:val="0"/>
        <w:spacing w:line="600" w:lineRule="exact"/>
        <w:ind w:firstLine="640"/>
        <w:jc w:val="left"/>
        <w:rPr>
          <w:rFonts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</w:rPr>
        <w:t>4. 消防安全与应急管理</w:t>
      </w:r>
    </w:p>
    <w:p>
      <w:pPr>
        <w:widowControl/>
        <w:wordWrap w:val="0"/>
        <w:spacing w:line="600" w:lineRule="exact"/>
        <w:ind w:firstLine="640"/>
        <w:jc w:val="left"/>
        <w:rPr>
          <w:rFonts w:hint="eastAsia" w:hAnsi="Times New Roman" w:eastAsia="楷体_GB2312"/>
          <w:color w:val="000000"/>
          <w:kern w:val="0"/>
          <w:sz w:val="32"/>
          <w:szCs w:val="32"/>
        </w:rPr>
      </w:pPr>
      <w:r>
        <w:rPr>
          <w:rFonts w:hint="eastAsia" w:hAnsi="Times New Roman" w:eastAsia="楷体_GB2312"/>
          <w:color w:val="000000"/>
          <w:kern w:val="0"/>
          <w:sz w:val="32"/>
          <w:szCs w:val="32"/>
        </w:rPr>
        <w:t>（五）滨海新区高质量发展示范引领（4门）</w:t>
      </w:r>
    </w:p>
    <w:p>
      <w:pPr>
        <w:widowControl/>
        <w:wordWrap w:val="0"/>
        <w:spacing w:line="600" w:lineRule="exact"/>
        <w:ind w:firstLine="640"/>
        <w:jc w:val="left"/>
        <w:rPr>
          <w:rFonts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  <w:highlight w:val="none"/>
        </w:rPr>
        <w:t>1. 滨海新区高质量发展</w:t>
      </w:r>
    </w:p>
    <w:p>
      <w:pPr>
        <w:spacing w:line="600" w:lineRule="exact"/>
        <w:ind w:firstLine="641"/>
        <w:rPr>
          <w:rFonts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</w:rPr>
        <w:t>2. 新发展格局下的自贸区建设</w:t>
      </w:r>
    </w:p>
    <w:p>
      <w:pPr>
        <w:spacing w:line="600" w:lineRule="exact"/>
        <w:ind w:firstLine="640" w:firstLineChars="200"/>
        <w:rPr>
          <w:rFonts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</w:rPr>
        <w:t xml:space="preserve">3. </w:t>
      </w:r>
      <w:r>
        <w:rPr>
          <w:rFonts w:hAnsi="Times New Roman" w:eastAsia="仿宋_GB2312"/>
          <w:color w:val="000000"/>
          <w:kern w:val="0"/>
          <w:sz w:val="32"/>
          <w:szCs w:val="32"/>
        </w:rPr>
        <w:t>建设更高水平开放型经济新体制</w:t>
      </w:r>
    </w:p>
    <w:p>
      <w:pPr>
        <w:spacing w:line="600" w:lineRule="exact"/>
        <w:ind w:firstLine="640" w:firstLineChars="200"/>
        <w:rPr>
          <w:rFonts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</w:rPr>
        <w:t>4. 新时代下的营商环境</w:t>
      </w:r>
    </w:p>
    <w:p>
      <w:pPr>
        <w:widowControl/>
        <w:wordWrap w:val="0"/>
        <w:spacing w:line="600" w:lineRule="exact"/>
        <w:ind w:firstLine="640"/>
        <w:jc w:val="left"/>
        <w:rPr>
          <w:rFonts w:hint="eastAsia" w:hAnsi="Times New Roman" w:eastAsia="楷体_GB2312"/>
          <w:color w:val="000000"/>
          <w:kern w:val="0"/>
          <w:sz w:val="32"/>
          <w:szCs w:val="32"/>
        </w:rPr>
      </w:pPr>
      <w:r>
        <w:rPr>
          <w:rFonts w:hint="eastAsia" w:hAnsi="Times New Roman" w:eastAsia="楷体_GB2312"/>
          <w:color w:val="000000"/>
          <w:kern w:val="0"/>
          <w:sz w:val="32"/>
          <w:szCs w:val="32"/>
        </w:rPr>
        <w:t>（六）中心城区更新提升（4门）</w:t>
      </w:r>
    </w:p>
    <w:p>
      <w:pPr>
        <w:spacing w:line="600" w:lineRule="exact"/>
        <w:ind w:firstLine="641"/>
        <w:rPr>
          <w:rFonts w:hint="eastAsia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</w:rPr>
        <w:t>1.</w:t>
      </w:r>
      <w:r>
        <w:rPr>
          <w:rFonts w:hAnsi="Times New Roman" w:eastAsia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hAnsi="Times New Roman" w:eastAsia="仿宋_GB2312"/>
          <w:color w:val="000000"/>
          <w:kern w:val="0"/>
          <w:sz w:val="32"/>
          <w:szCs w:val="32"/>
        </w:rPr>
        <w:t>青年友好型城市建设</w:t>
      </w:r>
    </w:p>
    <w:p>
      <w:pPr>
        <w:spacing w:line="600" w:lineRule="exact"/>
        <w:ind w:firstLine="641"/>
        <w:rPr>
          <w:rFonts w:hint="eastAsia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</w:rPr>
        <w:t>2. 文化产业高质量发展</w:t>
      </w:r>
    </w:p>
    <w:p>
      <w:pPr>
        <w:spacing w:line="600" w:lineRule="exact"/>
        <w:ind w:firstLine="641"/>
        <w:rPr>
          <w:rFonts w:hint="eastAsia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</w:rPr>
        <w:t>3. 新基建与未来智能交通发展</w:t>
      </w:r>
    </w:p>
    <w:p>
      <w:pPr>
        <w:spacing w:line="600" w:lineRule="exact"/>
        <w:ind w:firstLine="641"/>
        <w:rPr>
          <w:rFonts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</w:rPr>
        <w:t>4. 智慧社会管理</w:t>
      </w:r>
    </w:p>
    <w:p>
      <w:pPr>
        <w:widowControl/>
        <w:wordWrap w:val="0"/>
        <w:spacing w:line="600" w:lineRule="exact"/>
        <w:ind w:firstLine="640"/>
        <w:jc w:val="left"/>
        <w:rPr>
          <w:rFonts w:hint="eastAsia" w:hAnsi="Times New Roman" w:eastAsia="楷体_GB2312"/>
          <w:color w:val="000000"/>
          <w:kern w:val="0"/>
          <w:sz w:val="32"/>
          <w:szCs w:val="32"/>
        </w:rPr>
      </w:pPr>
      <w:r>
        <w:rPr>
          <w:rFonts w:hint="eastAsia" w:hAnsi="Times New Roman" w:eastAsia="楷体_GB2312"/>
          <w:color w:val="000000"/>
          <w:kern w:val="0"/>
          <w:sz w:val="32"/>
          <w:szCs w:val="32"/>
        </w:rPr>
        <w:t>（七）乡村振兴全面推进（4门）</w:t>
      </w:r>
    </w:p>
    <w:p>
      <w:pPr>
        <w:spacing w:line="600" w:lineRule="exact"/>
        <w:ind w:firstLine="641"/>
        <w:rPr>
          <w:rFonts w:hint="eastAsia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</w:rPr>
        <w:t>1. 数字乡村建设</w:t>
      </w:r>
    </w:p>
    <w:p>
      <w:pPr>
        <w:spacing w:line="600" w:lineRule="exact"/>
        <w:ind w:firstLine="641"/>
        <w:rPr>
          <w:rFonts w:hint="eastAsia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</w:rPr>
        <w:t>2. 粮食安全与农业风险管理</w:t>
      </w:r>
    </w:p>
    <w:p>
      <w:pPr>
        <w:spacing w:line="600" w:lineRule="exact"/>
        <w:ind w:firstLine="641"/>
        <w:rPr>
          <w:rFonts w:hint="eastAsia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</w:rPr>
        <w:t xml:space="preserve">3. 推动农村一二三产业融合发展 </w:t>
      </w:r>
    </w:p>
    <w:p>
      <w:pPr>
        <w:spacing w:line="600" w:lineRule="exact"/>
        <w:ind w:firstLine="641"/>
        <w:rPr>
          <w:rFonts w:hint="eastAsia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</w:rPr>
        <w:t>4. 农村经济体制改革</w:t>
      </w:r>
    </w:p>
    <w:p>
      <w:pPr>
        <w:widowControl/>
        <w:wordWrap w:val="0"/>
        <w:spacing w:line="600" w:lineRule="exact"/>
        <w:ind w:firstLine="640"/>
        <w:jc w:val="left"/>
        <w:rPr>
          <w:rFonts w:hint="eastAsia" w:hAnsi="Times New Roman" w:eastAsia="楷体_GB2312"/>
          <w:color w:val="000000"/>
          <w:kern w:val="0"/>
          <w:sz w:val="32"/>
          <w:szCs w:val="32"/>
        </w:rPr>
      </w:pPr>
      <w:r>
        <w:rPr>
          <w:rFonts w:hint="eastAsia" w:hAnsi="Times New Roman" w:eastAsia="楷体_GB2312"/>
          <w:color w:val="000000"/>
          <w:kern w:val="0"/>
          <w:sz w:val="32"/>
          <w:szCs w:val="32"/>
        </w:rPr>
        <w:t>（八）绿色低碳发展（</w:t>
      </w:r>
      <w:r>
        <w:rPr>
          <w:rFonts w:hint="eastAsia" w:hAnsi="Times New Roman" w:eastAsia="楷体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hAnsi="Times New Roman" w:eastAsia="楷体_GB2312"/>
          <w:color w:val="000000"/>
          <w:kern w:val="0"/>
          <w:sz w:val="32"/>
          <w:szCs w:val="32"/>
        </w:rPr>
        <w:t>门）</w:t>
      </w:r>
    </w:p>
    <w:p>
      <w:pPr>
        <w:spacing w:line="600" w:lineRule="exact"/>
        <w:ind w:firstLine="641"/>
        <w:rPr>
          <w:rFonts w:hint="eastAsia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</w:rPr>
        <w:t>1. 推动绿色发展，促进人与自然和谐共生</w:t>
      </w:r>
    </w:p>
    <w:p>
      <w:pPr>
        <w:spacing w:line="600" w:lineRule="exact"/>
        <w:ind w:firstLine="641"/>
        <w:rPr>
          <w:rFonts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</w:rPr>
        <w:t>2. 碳达峰碳中和背景下的我国能源转型战略和前景</w:t>
      </w:r>
    </w:p>
    <w:p>
      <w:pPr>
        <w:spacing w:line="600" w:lineRule="exact"/>
        <w:ind w:firstLine="641"/>
        <w:rPr>
          <w:rFonts w:hint="eastAsia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</w:rPr>
        <w:t>3. 中国“双碳”政策解读及对企业发展的影响</w:t>
      </w:r>
    </w:p>
    <w:p>
      <w:pPr>
        <w:spacing w:line="600" w:lineRule="exact"/>
        <w:ind w:firstLine="641"/>
        <w:rPr>
          <w:rFonts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</w:rPr>
        <w:t>4. 生态环境保护</w:t>
      </w:r>
    </w:p>
    <w:p>
      <w:pPr>
        <w:widowControl/>
        <w:wordWrap w:val="0"/>
        <w:spacing w:line="600" w:lineRule="exact"/>
        <w:ind w:firstLine="640"/>
        <w:jc w:val="left"/>
        <w:rPr>
          <w:rFonts w:hint="eastAsia" w:hAnsi="Times New Roman" w:eastAsia="楷体_GB2312"/>
          <w:color w:val="000000"/>
          <w:kern w:val="0"/>
          <w:sz w:val="32"/>
          <w:szCs w:val="32"/>
        </w:rPr>
      </w:pPr>
      <w:r>
        <w:rPr>
          <w:rFonts w:hint="eastAsia" w:hAnsi="Times New Roman" w:eastAsia="楷体_GB2312"/>
          <w:color w:val="000000"/>
          <w:kern w:val="0"/>
          <w:sz w:val="32"/>
          <w:szCs w:val="32"/>
        </w:rPr>
        <w:t>（九）高品质生活创造（6门）</w:t>
      </w:r>
    </w:p>
    <w:p>
      <w:pPr>
        <w:spacing w:line="600" w:lineRule="exact"/>
        <w:ind w:firstLine="641"/>
        <w:rPr>
          <w:rFonts w:hint="eastAsia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hAnsi="Times New Roman" w:eastAsia="楷体_GB2312"/>
          <w:color w:val="000000"/>
          <w:kern w:val="0"/>
          <w:sz w:val="32"/>
          <w:szCs w:val="32"/>
        </w:rPr>
        <w:t xml:space="preserve">1. </w:t>
      </w:r>
      <w:r>
        <w:rPr>
          <w:rFonts w:hint="eastAsia" w:hAnsi="Times New Roman" w:eastAsia="仿宋_GB2312"/>
          <w:color w:val="000000"/>
          <w:kern w:val="0"/>
          <w:sz w:val="32"/>
          <w:szCs w:val="32"/>
        </w:rPr>
        <w:t>就业问题与中国就业制度改革研究</w:t>
      </w:r>
    </w:p>
    <w:p>
      <w:pPr>
        <w:spacing w:line="600" w:lineRule="exact"/>
        <w:ind w:firstLine="641"/>
        <w:rPr>
          <w:rFonts w:hint="eastAsia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</w:rPr>
        <w:t>2. 后疫情时代与健康中国战略</w:t>
      </w:r>
    </w:p>
    <w:p>
      <w:pPr>
        <w:spacing w:line="600" w:lineRule="exact"/>
        <w:ind w:firstLine="641"/>
        <w:rPr>
          <w:rFonts w:hint="eastAsia" w:ascii="Times New Roman" w:eastAsia="仿宋_GB2312"/>
          <w:sz w:val="32"/>
        </w:rPr>
      </w:pPr>
      <w:r>
        <w:rPr>
          <w:rFonts w:hint="eastAsia" w:hAnsi="Times New Roman" w:eastAsia="楷体_GB2312"/>
          <w:color w:val="000000"/>
          <w:kern w:val="0"/>
          <w:sz w:val="32"/>
          <w:szCs w:val="32"/>
        </w:rPr>
        <w:t xml:space="preserve">3. </w:t>
      </w:r>
      <w:r>
        <w:rPr>
          <w:rFonts w:hint="eastAsia" w:hAnsi="Times New Roman" w:eastAsia="仿宋_GB2312"/>
          <w:color w:val="000000"/>
          <w:kern w:val="0"/>
          <w:sz w:val="32"/>
          <w:szCs w:val="32"/>
        </w:rPr>
        <w:t>健全养老服务</w:t>
      </w:r>
    </w:p>
    <w:p>
      <w:pPr>
        <w:spacing w:line="600" w:lineRule="exact"/>
        <w:ind w:firstLine="641"/>
        <w:rPr>
          <w:rFonts w:hint="eastAsia" w:ascii="Times New Roman" w:eastAsia="仿宋_GB2312"/>
          <w:sz w:val="32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</w:rPr>
        <w:t>4. 食品安全</w:t>
      </w:r>
    </w:p>
    <w:p>
      <w:pPr>
        <w:spacing w:line="600" w:lineRule="exact"/>
        <w:ind w:firstLine="641"/>
        <w:rPr>
          <w:rFonts w:hint="eastAsia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hAnsi="Times New Roman" w:eastAsia="楷体_GB2312"/>
          <w:color w:val="000000"/>
          <w:kern w:val="0"/>
          <w:sz w:val="32"/>
          <w:szCs w:val="32"/>
        </w:rPr>
        <w:t xml:space="preserve">5. </w:t>
      </w:r>
      <w:r>
        <w:rPr>
          <w:rFonts w:hint="eastAsia" w:hAnsi="Times New Roman" w:eastAsia="仿宋_GB2312"/>
          <w:color w:val="000000"/>
          <w:kern w:val="0"/>
          <w:sz w:val="32"/>
          <w:szCs w:val="32"/>
        </w:rPr>
        <w:t>青少年近视防控</w:t>
      </w:r>
    </w:p>
    <w:p>
      <w:pPr>
        <w:spacing w:line="600" w:lineRule="exact"/>
        <w:ind w:firstLine="641"/>
        <w:rPr>
          <w:rFonts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</w:rPr>
        <w:t>6. 国学经典</w:t>
      </w:r>
    </w:p>
    <w:p>
      <w:pPr>
        <w:widowControl/>
        <w:wordWrap w:val="0"/>
        <w:spacing w:line="600" w:lineRule="exact"/>
        <w:ind w:firstLine="640"/>
        <w:jc w:val="left"/>
        <w:rPr>
          <w:rFonts w:hint="eastAsia" w:hAnsi="Times New Roman" w:eastAsia="楷体_GB2312"/>
          <w:color w:val="000000"/>
          <w:kern w:val="0"/>
          <w:sz w:val="32"/>
          <w:szCs w:val="32"/>
        </w:rPr>
      </w:pPr>
      <w:r>
        <w:rPr>
          <w:rFonts w:hint="eastAsia" w:hAnsi="Times New Roman" w:eastAsia="楷体_GB2312"/>
          <w:color w:val="000000"/>
          <w:kern w:val="0"/>
          <w:sz w:val="32"/>
          <w:szCs w:val="32"/>
        </w:rPr>
        <w:t>（十）党建引领基层治理（4门）</w:t>
      </w:r>
    </w:p>
    <w:p>
      <w:pPr>
        <w:spacing w:line="600" w:lineRule="exact"/>
        <w:ind w:firstLine="641"/>
        <w:rPr>
          <w:rFonts w:hint="eastAsia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hAnsi="Times New Roman" w:eastAsia="楷体_GB2312"/>
          <w:color w:val="000000"/>
          <w:kern w:val="0"/>
          <w:sz w:val="32"/>
          <w:szCs w:val="32"/>
        </w:rPr>
        <w:t xml:space="preserve">1. </w:t>
      </w:r>
      <w:r>
        <w:rPr>
          <w:rFonts w:hint="eastAsia" w:hAnsi="Times New Roman" w:eastAsia="仿宋_GB2312"/>
          <w:color w:val="000000"/>
          <w:kern w:val="0"/>
          <w:sz w:val="32"/>
          <w:szCs w:val="32"/>
        </w:rPr>
        <w:t>学习理解《习近平谈治国理政》第四卷</w:t>
      </w:r>
    </w:p>
    <w:p>
      <w:pPr>
        <w:spacing w:line="600" w:lineRule="exact"/>
        <w:ind w:firstLine="641"/>
        <w:rPr>
          <w:rFonts w:hint="eastAsia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</w:rPr>
        <w:t>2. 《中国共产党组织工作条例》解读</w:t>
      </w:r>
    </w:p>
    <w:p>
      <w:pPr>
        <w:spacing w:line="600" w:lineRule="exact"/>
        <w:ind w:firstLine="641"/>
        <w:rPr>
          <w:rFonts w:hint="eastAsia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</w:rPr>
        <w:t>3. 坚持和完善共建共治共享的社会治理制度</w:t>
      </w:r>
    </w:p>
    <w:p>
      <w:pPr>
        <w:spacing w:line="600" w:lineRule="exact"/>
        <w:ind w:firstLine="641"/>
        <w:rPr>
          <w:rFonts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</w:rPr>
        <w:t>4. 新媒体与社会治理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rPr>
          <w:rFonts w:hint="eastAsia"/>
        </w:rPr>
      </w:pPr>
    </w:p>
    <w:sectPr>
      <w:footerReference r:id="rId5" w:type="default"/>
      <w:pgSz w:w="11906" w:h="16838"/>
      <w:pgMar w:top="1440" w:right="1531" w:bottom="1440" w:left="1531" w:header="851" w:footer="992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 Light">
    <w:altName w:val="华文仿宋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长城小标宋体">
    <w:altName w:val="方正小标宋_GBK"/>
    <w:panose1 w:val="02010609010101010101"/>
    <w:charset w:val="00"/>
    <w:family w:val="modern"/>
    <w:pitch w:val="default"/>
    <w:sig w:usb0="00000000" w:usb1="00000000" w:usb2="00000010" w:usb3="00000000" w:csb0="00040000" w:csb1="00000000"/>
  </w:font>
  <w:font w:name="文星简小标宋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6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  <w:rFonts w:hint="eastAsia" w:ascii="宋体" w:hAnsi="宋体"/>
        <w:sz w:val="28"/>
        <w:szCs w:val="28"/>
      </w:rPr>
    </w:pPr>
    <w:r>
      <w:rPr>
        <w:rStyle w:val="11"/>
        <w:rFonts w:hint="eastAsia" w:ascii="宋体" w:hAnsi="宋体"/>
        <w:sz w:val="28"/>
        <w:szCs w:val="28"/>
      </w:rPr>
      <w:t>―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1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rStyle w:val="11"/>
        <w:rFonts w:hint="eastAsia" w:ascii="宋体" w:hAnsi="宋体"/>
        <w:sz w:val="28"/>
        <w:szCs w:val="28"/>
      </w:rPr>
      <w:t>―</w:t>
    </w:r>
  </w:p>
  <w:p>
    <w:pPr>
      <w:pStyle w:val="6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BE89F8"/>
    <w:multiLevelType w:val="singleLevel"/>
    <w:tmpl w:val="AFBE89F8"/>
    <w:lvl w:ilvl="0" w:tentative="0">
      <w:start w:val="2"/>
      <w:numFmt w:val="decimal"/>
      <w:suff w:val="space"/>
      <w:lvlText w:val="%1."/>
      <w:lvlJc w:val="left"/>
      <w:pPr>
        <w:ind w:left="160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true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2EF73E54"/>
    <w:rsid w:val="3D3EB8A5"/>
    <w:rsid w:val="4B7D8013"/>
    <w:rsid w:val="4BAE31E5"/>
    <w:rsid w:val="5A6F7BFA"/>
    <w:rsid w:val="5FBF8EF0"/>
    <w:rsid w:val="7FBEFEE5"/>
    <w:rsid w:val="7FFF1FC3"/>
    <w:rsid w:val="9BCAAC55"/>
    <w:rsid w:val="AE7BBDED"/>
    <w:rsid w:val="CFFE1980"/>
    <w:rsid w:val="D67FA32F"/>
    <w:rsid w:val="D6B7556B"/>
    <w:rsid w:val="DAFF9875"/>
    <w:rsid w:val="EFFFD86E"/>
    <w:rsid w:val="F2FF9DAD"/>
    <w:rsid w:val="F7BDD8ED"/>
    <w:rsid w:val="F8FB0A3B"/>
    <w:rsid w:val="FBFF4A43"/>
    <w:rsid w:val="FD5DB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keepNext w:val="0"/>
      <w:keepLines w:val="0"/>
      <w:widowControl w:val="0"/>
      <w:suppressLineNumbers w:val="0"/>
      <w:snapToGrid w:val="0"/>
      <w:spacing w:before="0" w:beforeAutospacing="0" w:after="0" w:afterAutospacing="0"/>
      <w:ind w:left="0" w:right="0" w:firstLine="0" w:firstLineChars="0"/>
      <w:jc w:val="center"/>
      <w:outlineLvl w:val="0"/>
    </w:pPr>
    <w:rPr>
      <w:rFonts w:hint="eastAsia" w:ascii="等线 Light" w:hAnsi="等线 Light" w:eastAsia="方正小标宋_GBK" w:cs="Times New Roman"/>
      <w:bCs/>
      <w:kern w:val="2"/>
      <w:sz w:val="44"/>
      <w:szCs w:val="32"/>
      <w:lang w:val="en-US" w:eastAsia="zh-CN" w:bidi="ar"/>
    </w:rPr>
  </w:style>
  <w:style w:type="paragraph" w:styleId="3">
    <w:name w:val="Body Text"/>
    <w:basedOn w:val="1"/>
    <w:qFormat/>
    <w:uiPriority w:val="0"/>
    <w:pPr>
      <w:jc w:val="center"/>
    </w:pPr>
    <w:rPr>
      <w:sz w:val="44"/>
    </w:rPr>
  </w:style>
  <w:style w:type="paragraph" w:styleId="4">
    <w:name w:val="Body Text Indent"/>
    <w:basedOn w:val="1"/>
    <w:qFormat/>
    <w:uiPriority w:val="0"/>
    <w:pPr>
      <w:ind w:firstLine="360"/>
    </w:pPr>
  </w:style>
  <w:style w:type="paragraph" w:styleId="5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13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14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15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6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7">
    <w:name w:val="Red_Color"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18">
    <w:name w:val="KaiTi"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19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34</Words>
  <Characters>196</Characters>
  <Lines>1</Lines>
  <Paragraphs>1</Paragraphs>
  <TotalTime>8</TotalTime>
  <ScaleCrop>false</ScaleCrop>
  <LinksUpToDate>false</LinksUpToDate>
  <CharactersWithSpaces>229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2020-09-17T14:56:00Z</dcterms:created>
  <dc:creator>linhong</dc:creator>
  <cp:lastModifiedBy>kylin</cp:lastModifiedBy>
  <cp:lastPrinted>2023-01-17T15:45:00Z</cp:lastPrinted>
  <dcterms:modified xsi:type="dcterms:W3CDTF">2023-01-18T10:56:08Z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