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3"/>
      <w:r>
        <w:rPr>
          <w:rFonts w:hint="eastAsia" w:ascii="方正小标宋_GBK" w:hAnsi="方正小标宋_GBK" w:eastAsia="方正小标宋_GBK"/>
          <w:b w:val="0"/>
          <w:bCs w:val="0"/>
          <w:sz w:val="30"/>
          <w:lang w:eastAsia="zh-CN"/>
        </w:rPr>
        <w:t>河东区</w:t>
      </w:r>
      <w:r>
        <w:rPr>
          <w:rFonts w:hint="eastAsia" w:ascii="方正小标宋_GBK" w:hAnsi="方正小标宋_GBK" w:eastAsia="方正小标宋_GBK"/>
          <w:b w:val="0"/>
          <w:bCs w:val="0"/>
          <w:sz w:val="30"/>
        </w:rPr>
        <w:t>公共文化服务领域基层政务公开标准目录</w:t>
      </w:r>
      <w:bookmarkEnd w:id="0"/>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对互联网上网服务营业场所违法行为的行政处罚</w:t>
            </w:r>
          </w:p>
        </w:tc>
        <w:tc>
          <w:tcPr>
            <w:tcW w:w="178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对娱乐场所违法行为的行政处罚</w:t>
            </w:r>
          </w:p>
        </w:tc>
        <w:tc>
          <w:tcPr>
            <w:tcW w:w="178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娱乐场所管理条例》、《国务院关于促进市场公平竞争维护市场正常秩序的若干意见》、《国务院办公厅关于全面推行行政执法公示制度执法全过程记录制度重大执法决定法制审核制度的指导意见》、《娱乐场所管理办法》</w:t>
            </w:r>
          </w:p>
        </w:tc>
        <w:tc>
          <w:tcPr>
            <w:tcW w:w="1814"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对营业性演出违法行为的行政处罚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营业性演出管理条例》、《国务院关于促进市场公平竞争维护市场正常秩序的若干意见》、《国务院办公厅关于全面推行行政执法公示制度执法全过程记录制度重大执法决定法制审核制度的指导意见》、《营业性演出管理条例实施细则》</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p>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4</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对艺术品经营违法行为的行政处罚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《国务院关于促进市场公平竞争维护市场正常秩序的若干意见》、《国务院办公厅关于全面推行行政执法公示制度执法全过程记录制度重大执法决定法制审核制度的指导意见》、《艺术品经营管理办法》</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5</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对网络游戏运营单位违法行为的行政处罚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《国务院关于促进市场公平竞争维护市场正常秩序的若干意见》、《国务院办公厅关于全面推行行政执法公示制度执法全过程记录制度重大执法决定法制审核制度的指导意见》、《网络游戏管理暂行办法》</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6</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对社会艺术水平考级活动违法行为的行政处罚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《国务院关于促进市场公平竞争维护市场正常秩序的若干意见》、《国务院办公厅关于全面推行行政执法公示制度执法全过程记录制度重大执法决定法制审核制度的指导意见》、《社会艺术水平考级管理办法》</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7</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对互联网文化单位违法行为的行政处罚</w:t>
            </w:r>
          </w:p>
        </w:tc>
        <w:tc>
          <w:tcPr>
            <w:tcW w:w="178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国务院关于促进市场公平竞争维护市场正常秩序的若干意见》、《国务院办公厅关于全面推行行政执法公示制度执法全过程记录制度重大执法决定法制审核制度的指导意见》、《互联网文化管理暂行规定》（文化部令第51号，第57号予以修改）  </w:t>
            </w:r>
          </w:p>
        </w:tc>
        <w:tc>
          <w:tcPr>
            <w:tcW w:w="1814"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144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8</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对擅自在文物保护单位的保护范围内进行建设工程或者爆破、钻探、挖掘等作业的行为进行处罚</w:t>
            </w:r>
          </w:p>
        </w:tc>
        <w:tc>
          <w:tcPr>
            <w:tcW w:w="178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9</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对在文物保护单位的建设控制地带内进行建设工程，其工程设计方案未经文物行政部门同意、报城乡建设规划部门批准，对文物保护单位的历史风貌造成破坏的行为进行处罚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10</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对擅自迁移、拆除不可移动文物的行为进行处罚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11</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对擅自修缮不可移动文物，明显改变文物原状的行为进行处罚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12</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对擅自在原址重建已全部毁坏的不可移动文物，造成文物破坏的行为进行处罚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13</w:t>
            </w:r>
          </w:p>
        </w:tc>
        <w:tc>
          <w:tcPr>
            <w:tcW w:w="734" w:type="dxa"/>
            <w:vMerge w:val="continue"/>
            <w:shd w:val="clear" w:color="auto" w:fill="auto"/>
            <w:vAlign w:val="center"/>
          </w:tcPr>
          <w:p>
            <w:pPr>
              <w:widowControl/>
              <w:jc w:val="center"/>
              <w:rPr>
                <w:rFonts w:hint="eastAsia" w:ascii="黑体" w:hAnsi="宋体" w:eastAsia="黑体" w:cs="宋体"/>
                <w:color w:val="000000"/>
                <w:kern w:val="0"/>
                <w:sz w:val="22"/>
              </w:rPr>
            </w:pP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对施工单位未取得文物保护工程资质证书，擅自从事文物修缮、迁移、重建的行为进行处罚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14</w:t>
            </w:r>
          </w:p>
        </w:tc>
        <w:tc>
          <w:tcPr>
            <w:tcW w:w="734" w:type="dxa"/>
            <w:vMerge w:val="restart"/>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16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对转让或者抵押国有不可移动文物的行为进行处罚</w:t>
            </w:r>
          </w:p>
        </w:tc>
        <w:tc>
          <w:tcPr>
            <w:tcW w:w="178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1980" w:type="dxa"/>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181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1426"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14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09"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551"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720" w:type="dxa"/>
            <w:shd w:val="clear" w:color="auto" w:fill="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15</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对将国有不可移动文物作为企业资产经营的行为进行处罚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16</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对将非国有不可移动文物转让或者抵押给外国人的行为进行处罚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17</w:t>
            </w:r>
          </w:p>
        </w:tc>
        <w:tc>
          <w:tcPr>
            <w:tcW w:w="734" w:type="dxa"/>
            <w:vMerge w:val="restart"/>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对擅自改变国有文物保护单位用途的行为进行处罚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18</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对文物收藏单位未按照国家有关规定配备防火、防盗、防自然损坏的设施的行为进行处罚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19</w:t>
            </w:r>
          </w:p>
        </w:tc>
        <w:tc>
          <w:tcPr>
            <w:tcW w:w="734" w:type="dxa"/>
            <w:vMerge w:val="restart"/>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对国有文物收藏单位法定代表人离任时未按照馆藏文物档案移交馆藏文物，或者所移交的馆藏文物与馆藏文物档案不符的行为进行处罚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20</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对将国有馆藏文物赠与、出租或者出售给其他单位、个人的行为进行处罚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21</w:t>
            </w:r>
          </w:p>
        </w:tc>
        <w:tc>
          <w:tcPr>
            <w:tcW w:w="734" w:type="dxa"/>
            <w:vMerge w:val="restart"/>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对违法借用、交换、处置国有馆藏文物的行为进行处罚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22</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对违法挪用或者侵占依法调拨、交换、出借文物所得补偿费用的行为进行处罚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23</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对发现文物隐匿不报，或者拒不上交的行为进行处罚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jc w:val="center"/>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24</w:t>
            </w:r>
          </w:p>
        </w:tc>
        <w:tc>
          <w:tcPr>
            <w:tcW w:w="734" w:type="dxa"/>
            <w:vMerge w:val="restart"/>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对未按照规定移交拣选文物的行为进行处罚</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top"/>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■政府网站</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25</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对未取得相应等级的文物保护工程资质证书，擅自承担文物保护单位的修缮、迁移、重建工程逾期不改正，或者造成严重后果的行为进行处罚</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top"/>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■政府网站</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26</w:t>
            </w:r>
          </w:p>
        </w:tc>
        <w:tc>
          <w:tcPr>
            <w:tcW w:w="734" w:type="dxa"/>
            <w:vMerge w:val="restart"/>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处罚</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对未取得资质证书，擅自从事馆藏文物的修复、复制、拓印活动的行为进行处罚</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top"/>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■政府网站</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27</w:t>
            </w:r>
          </w:p>
        </w:tc>
        <w:tc>
          <w:tcPr>
            <w:tcW w:w="734" w:type="dxa"/>
            <w:vMerge w:val="continue"/>
          </w:tcPr>
          <w:p>
            <w:pPr>
              <w:widowControl/>
              <w:jc w:val="center"/>
              <w:rPr>
                <w:rFonts w:hint="eastAsia" w:ascii="黑体" w:hAnsi="宋体" w:eastAsia="黑体" w:cs="宋体"/>
                <w:color w:val="000000"/>
                <w:kern w:val="0"/>
                <w:sz w:val="22"/>
              </w:rPr>
            </w:pP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对擅自修复、复制、拓印馆藏珍贵文物的行为进行处罚</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3.处罚依据；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4.处罚结果。</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《政府信息公开条例》、《国务院办公厅关于全面推行行政执法公示制度执法全过程记录制度重大执法决定法制审核制度的指导意见》</w:t>
            </w:r>
          </w:p>
        </w:tc>
        <w:tc>
          <w:tcPr>
            <w:tcW w:w="0" w:type="auto"/>
            <w:vAlign w:val="top"/>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执法决定信息在决定作出之日起7个工作日内公开，其他相关信息形成或变更之日起20个工作日内公开</w:t>
            </w:r>
          </w:p>
        </w:tc>
        <w:tc>
          <w:tcPr>
            <w:tcW w:w="0" w:type="auto"/>
            <w:vAlign w:val="center"/>
          </w:tcPr>
          <w:p>
            <w:pPr>
              <w:spacing w:line="240" w:lineRule="exact"/>
              <w:rPr>
                <w:rFonts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■政府网站</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28</w:t>
            </w:r>
          </w:p>
        </w:tc>
        <w:tc>
          <w:tcPr>
            <w:tcW w:w="73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行政</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强制</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对擅自从事互联网上网服务经营活动场所的查封，专用工具、设备的扣押</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1.主体信息；</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2.案由；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3.处理依据；</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4.处理结果。</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互联网上网服务营业场所管理条例》、《国务院关于促进市场公平竞争维护市场正常秩序的若干意见》、《国务院办公厅关于全面推行行政执法公示制度执法全过程记录制度重大执法决定法制审核制度的指导意见》</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文化和旅游行政部门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xml:space="preserve">■政府网站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29</w:t>
            </w:r>
          </w:p>
        </w:tc>
        <w:tc>
          <w:tcPr>
            <w:tcW w:w="734" w:type="dxa"/>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公共</w:t>
            </w:r>
            <w:r>
              <w:rPr>
                <w:rFonts w:hint="eastAsia" w:ascii="仿宋_GB2312" w:hAnsi="Times New Roman" w:eastAsia="仿宋_GB2312"/>
                <w:color w:val="auto"/>
                <w:sz w:val="18"/>
                <w:szCs w:val="18"/>
                <w:highlight w:val="none"/>
                <w:shd w:val="clear" w:color="auto" w:fill="auto"/>
              </w:rPr>
              <w:br w:type="textWrapping"/>
            </w:r>
            <w:r>
              <w:rPr>
                <w:rFonts w:hint="eastAsia" w:ascii="仿宋_GB2312" w:hAnsi="Times New Roman" w:eastAsia="仿宋_GB2312"/>
                <w:color w:val="auto"/>
                <w:sz w:val="18"/>
                <w:szCs w:val="18"/>
                <w:highlight w:val="none"/>
                <w:shd w:val="clear" w:color="auto" w:fill="auto"/>
              </w:rPr>
              <w:t>服务</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文博单位名录</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文物保护管理机构和博物馆名录</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《政府信息公开条例》</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文物行政部门</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■政府网站</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　</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c>
          <w:tcPr>
            <w:tcW w:w="0" w:type="auto"/>
            <w:vAlign w:val="center"/>
          </w:tcPr>
          <w:p>
            <w:pPr>
              <w:spacing w:line="240" w:lineRule="exact"/>
              <w:rPr>
                <w:rFonts w:hint="eastAsia"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olor w:val="auto"/>
                <w:sz w:val="18"/>
                <w:szCs w:val="18"/>
                <w:highlight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30</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公共文化机构</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免费开放信息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31</w:t>
            </w:r>
          </w:p>
        </w:tc>
        <w:tc>
          <w:tcPr>
            <w:tcW w:w="734"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特殊群体公共</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文化服务信息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国务院办公厅印发关于加快构建现代公共文化服务体系的意见》、中共天津市委办公厅 天津市人民政府办公厅印发《关于加快构建现代公共文化服务体系的实施意见》的通知、</w:t>
            </w:r>
            <w:r>
              <w:rPr>
                <w:rFonts w:hint="eastAsia" w:ascii="仿宋_GB2312" w:hAnsi="Times New Roman" w:eastAsia="仿宋_GB2312"/>
                <w:sz w:val="18"/>
                <w:szCs w:val="18"/>
                <w:lang w:eastAsia="zh-CN"/>
              </w:rPr>
              <w:t>河东区委办公室、区政府办公室《河东区关于加快构建现代公共文化服务体系的实施方案》</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32</w:t>
            </w:r>
          </w:p>
        </w:tc>
        <w:tc>
          <w:tcPr>
            <w:tcW w:w="734" w:type="dxa"/>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0" w:type="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组织开展群众</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文化活动</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《天津市乡镇（街道）综合性文化服务中心建设与服务规范》（试行）、河东区委办公室、区政府办公室《河东区关于加快构建现代公共文化服务体系的实施方案》</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33</w:t>
            </w:r>
          </w:p>
        </w:tc>
        <w:tc>
          <w:tcPr>
            <w:tcW w:w="734" w:type="dxa"/>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下基层辅导、演出、展览和指导基层群众文化活动</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河东区委办公室、区政府办公室《河东区关于加快构建现代公共文化服务体系的实施方案》</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34</w:t>
            </w:r>
          </w:p>
        </w:tc>
        <w:tc>
          <w:tcPr>
            <w:tcW w:w="734" w:type="dxa"/>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0" w:type="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举办各类展览、</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讲座信息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《天津市乡镇（街道）综合性文化服务中心建设与服务规范》（试行）、河东区委办公室、区政府办公室《河东区关于加快构建现代公共文化服务体系的实施方案》</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35</w:t>
            </w:r>
          </w:p>
        </w:tc>
        <w:tc>
          <w:tcPr>
            <w:tcW w:w="734" w:type="dxa"/>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0" w:type="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辅导和培训基层</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文化骨干</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《政府信息公开条例》、</w:t>
            </w:r>
            <w:r>
              <w:rPr>
                <w:rFonts w:hint="eastAsia" w:ascii="仿宋_GB2312" w:hAnsi="Times New Roman" w:eastAsia="仿宋_GB2312"/>
                <w:sz w:val="18"/>
                <w:szCs w:val="18"/>
                <w:lang w:eastAsia="zh-CN"/>
              </w:rPr>
              <w:t>《天津市乡镇（街道）综合性文化服务中心建设与服务规范》（试行）、河东区委办公室、区政府办公室《河东区关于加快构建现代公共文化服务体系的实施方案》</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rPr>
                <w:rFonts w:hint="default" w:ascii="仿宋_GB2312" w:hAnsi="Times New Roman" w:eastAsia="仿宋_GB2312" w:cs="Times New Roman"/>
                <w:color w:val="auto"/>
                <w:kern w:val="2"/>
                <w:sz w:val="18"/>
                <w:szCs w:val="18"/>
                <w:highlight w:val="none"/>
                <w:shd w:val="clear" w:color="auto" w:fill="auto"/>
                <w:lang w:val="en-US" w:eastAsia="zh-CN" w:bidi="ar-SA"/>
              </w:rPr>
            </w:pPr>
            <w:r>
              <w:rPr>
                <w:rFonts w:hint="eastAsia" w:ascii="仿宋_GB2312" w:hAnsi="Times New Roman" w:eastAsia="仿宋_GB2312" w:cs="Times New Roman"/>
                <w:color w:val="auto"/>
                <w:kern w:val="2"/>
                <w:sz w:val="18"/>
                <w:szCs w:val="18"/>
                <w:highlight w:val="none"/>
                <w:shd w:val="clear" w:color="auto" w:fill="auto"/>
                <w:lang w:val="en-US" w:eastAsia="zh-CN" w:bidi="ar-SA"/>
              </w:rPr>
              <w:t>36</w:t>
            </w:r>
          </w:p>
        </w:tc>
        <w:tc>
          <w:tcPr>
            <w:tcW w:w="734" w:type="dxa"/>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0" w:type="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非物质文化遗产</w:t>
            </w:r>
          </w:p>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展示传播活动</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《非物质文化遗产法》、《政府信息公开条例》</w:t>
            </w:r>
            <w:r>
              <w:rPr>
                <w:rFonts w:hint="eastAsia" w:ascii="仿宋_GB2312" w:hAnsi="Times New Roman" w:eastAsia="仿宋_GB2312"/>
                <w:sz w:val="18"/>
                <w:szCs w:val="18"/>
                <w:lang w:eastAsia="zh-CN"/>
              </w:rPr>
              <w:t>、《天津市非物质文化遗产保护条例》</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信息形成或变更之日起20个工作日内公开</w:t>
            </w:r>
          </w:p>
        </w:tc>
        <w:tc>
          <w:tcPr>
            <w:tcW w:w="0" w:type="auto"/>
            <w:vAlign w:val="center"/>
          </w:tcPr>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区文化和旅游局，相关公共文化服务机构</w:t>
            </w:r>
          </w:p>
        </w:tc>
        <w:tc>
          <w:tcPr>
            <w:tcW w:w="0" w:type="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■政府网站</w:t>
            </w:r>
          </w:p>
          <w:p>
            <w:pPr>
              <w:spacing w:line="240" w:lineRule="exact"/>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■公开查阅点</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c>
          <w:tcPr>
            <w:tcW w:w="0" w:type="auto"/>
            <w:vAlign w:val="center"/>
          </w:tcPr>
          <w:p>
            <w:pPr>
              <w:spacing w:line="240" w:lineRule="exact"/>
              <w:jc w:val="center"/>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w:t>
            </w:r>
          </w:p>
        </w:tc>
      </w:tr>
    </w:tbl>
    <w:p/>
    <w:p>
      <w:pPr>
        <w:rPr>
          <w:rFonts w:hint="default"/>
          <w:lang w:val="en-US" w:eastAsia="zh-CN"/>
        </w:rPr>
      </w:pPr>
      <w:bookmarkStart w:id="1" w:name="_GoBack"/>
      <w:bookmarkEnd w:id="1"/>
      <w:r>
        <w:rPr>
          <w:rFonts w:hint="eastAsia"/>
          <w:lang w:val="en-US" w:eastAsia="zh-CN"/>
        </w:rPr>
        <w:t xml:space="preserve">                                           </w:t>
      </w:r>
    </w:p>
    <w:p>
      <w:pPr>
        <w:rPr>
          <w:rFonts w:hint="eastAsia"/>
          <w:lang w:eastAsia="zh-CN"/>
        </w:rPr>
      </w:pPr>
    </w:p>
    <w:sectPr>
      <w:pgSz w:w="16838" w:h="11906" w:orient="landscape"/>
      <w:pgMar w:top="1800" w:right="1440" w:bottom="1800" w:left="144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FA"/>
    <w:rsid w:val="000A2EE5"/>
    <w:rsid w:val="0020523C"/>
    <w:rsid w:val="002371BC"/>
    <w:rsid w:val="00323B43"/>
    <w:rsid w:val="00336518"/>
    <w:rsid w:val="003C0F84"/>
    <w:rsid w:val="003C1A5C"/>
    <w:rsid w:val="003D37D8"/>
    <w:rsid w:val="003F2587"/>
    <w:rsid w:val="00411B85"/>
    <w:rsid w:val="004358AB"/>
    <w:rsid w:val="00456FA5"/>
    <w:rsid w:val="005E07FA"/>
    <w:rsid w:val="0068513A"/>
    <w:rsid w:val="00711098"/>
    <w:rsid w:val="00772F45"/>
    <w:rsid w:val="007B3852"/>
    <w:rsid w:val="007C4BAF"/>
    <w:rsid w:val="007D19EF"/>
    <w:rsid w:val="008B7726"/>
    <w:rsid w:val="009479F6"/>
    <w:rsid w:val="00A4194A"/>
    <w:rsid w:val="00B33E80"/>
    <w:rsid w:val="00BE2235"/>
    <w:rsid w:val="00D24CCB"/>
    <w:rsid w:val="00E3784F"/>
    <w:rsid w:val="00F60309"/>
    <w:rsid w:val="328F32C7"/>
    <w:rsid w:val="5BED51CE"/>
    <w:rsid w:val="5FAA5858"/>
    <w:rsid w:val="6CFCED06"/>
    <w:rsid w:val="6FB0879E"/>
    <w:rsid w:val="7CB78C62"/>
    <w:rsid w:val="7D793402"/>
    <w:rsid w:val="7EEBFED9"/>
    <w:rsid w:val="7EFEA119"/>
    <w:rsid w:val="7FF47FD9"/>
    <w:rsid w:val="B36F32E2"/>
    <w:rsid w:val="BFF88F19"/>
    <w:rsid w:val="F7FB7C70"/>
    <w:rsid w:val="FDFF4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标题 1 Char"/>
    <w:basedOn w:val="6"/>
    <w:link w:val="2"/>
    <w:qFormat/>
    <w:uiPriority w:val="0"/>
    <w:rPr>
      <w:rFonts w:ascii="Calibri" w:hAnsi="Calibri" w:eastAsia="宋体" w:cs="Times New Roman"/>
      <w:b/>
      <w:bCs/>
      <w:kern w:val="44"/>
      <w:sz w:val="44"/>
      <w:szCs w:val="44"/>
    </w:rPr>
  </w:style>
  <w:style w:type="character" w:customStyle="1" w:styleId="10">
    <w:name w:val="font01"/>
    <w:basedOn w:val="6"/>
    <w:qFormat/>
    <w:uiPriority w:val="0"/>
    <w:rPr>
      <w:rFonts w:hint="default"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1285</Words>
  <Characters>7330</Characters>
  <Lines>61</Lines>
  <Paragraphs>17</Paragraphs>
  <TotalTime>0</TotalTime>
  <ScaleCrop>false</ScaleCrop>
  <LinksUpToDate>false</LinksUpToDate>
  <CharactersWithSpaces>8598</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2020-11-25T12:01:00Z</dcterms:created>
  <dc:creator>Administrator</dc:creator>
  <cp:lastModifiedBy>kylin</cp:lastModifiedBy>
  <dcterms:modified xsi:type="dcterms:W3CDTF">2022-04-06T13:45:05Z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3620C354DB6F4BA3A3ABE146C6679284</vt:lpwstr>
  </property>
</Properties>
</file>