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rPr>
          <w:rFonts w:hint="eastAsia"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spacing w:val="8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8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2年度河东区营商环境常态化监测体系</w:t>
      </w:r>
    </w:p>
    <w:p>
      <w:pPr>
        <w:spacing w:after="156" w:afterLines="50" w:line="600" w:lineRule="exact"/>
        <w:ind w:left="-864" w:leftChars="-270" w:right="-736" w:rightChars="-230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hint="eastAsia" w:eastAsia="楷体_GB2312"/>
          <w:bCs/>
          <w:sz w:val="32"/>
          <w:szCs w:val="32"/>
        </w:rPr>
        <w:t>序列一：牵头</w:t>
      </w:r>
      <w:r>
        <w:rPr>
          <w:rFonts w:eastAsia="楷体_GB2312"/>
          <w:bCs/>
          <w:sz w:val="32"/>
          <w:szCs w:val="32"/>
        </w:rPr>
        <w:t>部门）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277"/>
        <w:gridCol w:w="24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工作方面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监测内容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营商环境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落实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1.优化营商环境工作经验做法获得表彰。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+2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优化营商环境典型经验做法成效突出。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推进我区营商环境年度重点任务不力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迟报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-0.5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经提醒仍迟报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-1.5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未完成-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.落实营商环境建设工作不到位。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营商环境监督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反馈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营商环境建设工作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发现问题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.对营商环境难点痛点堵点问题解决不到位。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营商环境宣传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推广</w:t>
            </w: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报送优化营商环境典型案例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提高政策解读直观性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经提醒未发布-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27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.对“津策通”平台更新不及时。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相关佐证材料要求：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1.表彰红头文件。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2.信息网址链接、截图。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8.信息网址链接、截图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spacing w:val="8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8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2年度河东区营商环境常态化监测体系</w:t>
      </w:r>
    </w:p>
    <w:p>
      <w:pPr>
        <w:spacing w:after="156" w:afterLines="50" w:line="600" w:lineRule="exact"/>
        <w:ind w:left="-864" w:leftChars="-270" w:right="-736" w:rightChars="-230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hint="eastAsia" w:eastAsia="楷体_GB2312"/>
          <w:bCs/>
          <w:sz w:val="32"/>
          <w:szCs w:val="32"/>
        </w:rPr>
        <w:t>序列</w:t>
      </w:r>
      <w:r>
        <w:rPr>
          <w:rFonts w:hint="eastAsia" w:eastAsia="楷体_GB2312"/>
          <w:bCs/>
          <w:sz w:val="32"/>
          <w:szCs w:val="32"/>
          <w:lang w:eastAsia="zh-CN"/>
        </w:rPr>
        <w:t>二</w:t>
      </w:r>
      <w:r>
        <w:rPr>
          <w:rFonts w:hint="eastAsia" w:eastAsia="楷体_GB2312"/>
          <w:bCs/>
          <w:sz w:val="32"/>
          <w:szCs w:val="32"/>
        </w:rPr>
        <w:t>：</w:t>
      </w:r>
      <w:r>
        <w:rPr>
          <w:rFonts w:hint="eastAsia" w:eastAsia="楷体_GB2312"/>
          <w:bCs/>
          <w:sz w:val="32"/>
          <w:szCs w:val="32"/>
          <w:lang w:eastAsia="zh-CN"/>
        </w:rPr>
        <w:t>配合</w:t>
      </w:r>
      <w:r>
        <w:rPr>
          <w:rFonts w:eastAsia="楷体_GB2312"/>
          <w:bCs/>
          <w:sz w:val="32"/>
          <w:szCs w:val="32"/>
        </w:rPr>
        <w:t>部门）</w:t>
      </w:r>
    </w:p>
    <w:tbl>
      <w:tblPr>
        <w:tblStyle w:val="8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5449"/>
        <w:gridCol w:w="22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工作方面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监测内容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营商环境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落实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1.优化营商环境工作经验做法获得表彰。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+2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优化营商环境典型经验做法成效突出。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.落实营商环境建设工作不到位。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4.营商环境建设配合程度不够。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营商环境监督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反馈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营商环境建设工作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发现问题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.对营商环境难点痛点堵点问题解决不到位。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营商环境宣传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推广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.报送营商环境典型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案例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提高政策解读直观性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经提醒未发布-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.对“津策通”平台更新不及时。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相关佐证材料要求：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1.表彰红头文件。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2.信息网址链接、截图。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4.由牵头部门提供文字说明。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8.信息网址链接、截图。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spacing w:val="8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pacing w:val="8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2年度河东区营商环境常态化监测体系</w:t>
      </w:r>
    </w:p>
    <w:p>
      <w:pPr>
        <w:spacing w:after="156" w:afterLines="50" w:line="600" w:lineRule="exact"/>
        <w:ind w:left="-864" w:leftChars="-270" w:right="-736" w:rightChars="-230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>
        <w:rPr>
          <w:rFonts w:hint="eastAsia" w:eastAsia="楷体_GB2312"/>
          <w:bCs/>
          <w:sz w:val="32"/>
          <w:szCs w:val="32"/>
        </w:rPr>
        <w:t>序列</w:t>
      </w:r>
      <w:r>
        <w:rPr>
          <w:rFonts w:hint="eastAsia" w:eastAsia="楷体_GB2312"/>
          <w:bCs/>
          <w:sz w:val="32"/>
          <w:szCs w:val="32"/>
          <w:lang w:eastAsia="zh-CN"/>
        </w:rPr>
        <w:t>三</w:t>
      </w:r>
      <w:r>
        <w:rPr>
          <w:rFonts w:hint="eastAsia" w:eastAsia="楷体_GB2312"/>
          <w:bCs/>
          <w:sz w:val="32"/>
          <w:szCs w:val="32"/>
        </w:rPr>
        <w:t>：</w:t>
      </w:r>
      <w:r>
        <w:rPr>
          <w:rFonts w:hint="eastAsia" w:eastAsia="楷体_GB2312"/>
          <w:bCs/>
          <w:sz w:val="32"/>
          <w:szCs w:val="32"/>
          <w:lang w:eastAsia="zh-CN"/>
        </w:rPr>
        <w:t>各街道</w:t>
      </w:r>
      <w:r>
        <w:rPr>
          <w:rFonts w:eastAsia="楷体_GB2312"/>
          <w:bCs/>
          <w:sz w:val="32"/>
          <w:szCs w:val="32"/>
        </w:rPr>
        <w:t>）</w:t>
      </w:r>
    </w:p>
    <w:tbl>
      <w:tblPr>
        <w:tblStyle w:val="8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450"/>
        <w:gridCol w:w="22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工作方面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监测内容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  <w:t>营商环境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落实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1.优化营商环境工作经验做法获得表彰。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+2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优化营商环境典型经验做法成效突出。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.落实营商环境建设工作不到位。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4.营商环境建设配合程度不够。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-1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营商环境监督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反馈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营商环境建设工作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发现问题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.对营商环境难点痛点堵点问题解决不到位。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营商环境宣传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推广</w:t>
            </w:r>
          </w:p>
        </w:tc>
        <w:tc>
          <w:tcPr>
            <w:tcW w:w="3006" w:type="pct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7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.报送营商环境典型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案例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。</w:t>
            </w:r>
          </w:p>
        </w:tc>
        <w:tc>
          <w:tcPr>
            <w:tcW w:w="12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+0.5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相关佐证材料要求：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1.表彰红头文件。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2.信息网址链接、截图。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/>
        <w:sz w:val="28"/>
        <w:szCs w:val="28"/>
      </w:rPr>
      <w:id w:val="3261906"/>
      <w:docPartObj>
        <w:docPartGallery w:val="autotext"/>
      </w:docPartObj>
    </w:sdtPr>
    <w:sdtEndPr>
      <w:rPr>
        <w:rFonts w:hint="eastAsia"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326193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5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D4"/>
    <w:rsid w:val="000238BE"/>
    <w:rsid w:val="000300D9"/>
    <w:rsid w:val="000573B1"/>
    <w:rsid w:val="00065C2F"/>
    <w:rsid w:val="00066F9D"/>
    <w:rsid w:val="00076D4B"/>
    <w:rsid w:val="000D0C05"/>
    <w:rsid w:val="001043BB"/>
    <w:rsid w:val="001134BF"/>
    <w:rsid w:val="001562F7"/>
    <w:rsid w:val="001632FB"/>
    <w:rsid w:val="00172D08"/>
    <w:rsid w:val="0018090A"/>
    <w:rsid w:val="001C2408"/>
    <w:rsid w:val="001D479F"/>
    <w:rsid w:val="001E09B3"/>
    <w:rsid w:val="0021688C"/>
    <w:rsid w:val="002736ED"/>
    <w:rsid w:val="00282ED3"/>
    <w:rsid w:val="002A3D6F"/>
    <w:rsid w:val="002D54A6"/>
    <w:rsid w:val="00322D75"/>
    <w:rsid w:val="0037162C"/>
    <w:rsid w:val="003742AA"/>
    <w:rsid w:val="003800DF"/>
    <w:rsid w:val="003A3283"/>
    <w:rsid w:val="003A71F4"/>
    <w:rsid w:val="003B5025"/>
    <w:rsid w:val="003C4232"/>
    <w:rsid w:val="003C437F"/>
    <w:rsid w:val="003D387D"/>
    <w:rsid w:val="003F1B7C"/>
    <w:rsid w:val="003F222E"/>
    <w:rsid w:val="00404CDF"/>
    <w:rsid w:val="00413E67"/>
    <w:rsid w:val="00440EB1"/>
    <w:rsid w:val="004558B8"/>
    <w:rsid w:val="00464DDF"/>
    <w:rsid w:val="00496147"/>
    <w:rsid w:val="004C05D1"/>
    <w:rsid w:val="004D0C38"/>
    <w:rsid w:val="004E66D8"/>
    <w:rsid w:val="004F1C70"/>
    <w:rsid w:val="00511D95"/>
    <w:rsid w:val="005236CE"/>
    <w:rsid w:val="005304AD"/>
    <w:rsid w:val="00555766"/>
    <w:rsid w:val="005659F4"/>
    <w:rsid w:val="00573B4A"/>
    <w:rsid w:val="00592BD5"/>
    <w:rsid w:val="005C016B"/>
    <w:rsid w:val="00687C78"/>
    <w:rsid w:val="00692696"/>
    <w:rsid w:val="006B0E54"/>
    <w:rsid w:val="006B7AE5"/>
    <w:rsid w:val="006D2527"/>
    <w:rsid w:val="006D596D"/>
    <w:rsid w:val="00730DB5"/>
    <w:rsid w:val="007370CF"/>
    <w:rsid w:val="00740DF9"/>
    <w:rsid w:val="00744C7E"/>
    <w:rsid w:val="007706A8"/>
    <w:rsid w:val="00795E73"/>
    <w:rsid w:val="007D28D7"/>
    <w:rsid w:val="007F707B"/>
    <w:rsid w:val="008A031D"/>
    <w:rsid w:val="008A77A0"/>
    <w:rsid w:val="008D76F3"/>
    <w:rsid w:val="008F63D7"/>
    <w:rsid w:val="0090254D"/>
    <w:rsid w:val="00927629"/>
    <w:rsid w:val="00935705"/>
    <w:rsid w:val="00966463"/>
    <w:rsid w:val="00972E87"/>
    <w:rsid w:val="009B1A82"/>
    <w:rsid w:val="009B2CE4"/>
    <w:rsid w:val="009C7DAD"/>
    <w:rsid w:val="009F54AE"/>
    <w:rsid w:val="00A476F5"/>
    <w:rsid w:val="00A90DC7"/>
    <w:rsid w:val="00A9577A"/>
    <w:rsid w:val="00A96895"/>
    <w:rsid w:val="00AD497E"/>
    <w:rsid w:val="00AF3E83"/>
    <w:rsid w:val="00B078AC"/>
    <w:rsid w:val="00B2605B"/>
    <w:rsid w:val="00B41E65"/>
    <w:rsid w:val="00B4502C"/>
    <w:rsid w:val="00B4599F"/>
    <w:rsid w:val="00B45E44"/>
    <w:rsid w:val="00B542A9"/>
    <w:rsid w:val="00C6672F"/>
    <w:rsid w:val="00CB1718"/>
    <w:rsid w:val="00CC4BB5"/>
    <w:rsid w:val="00D21E44"/>
    <w:rsid w:val="00DB4CC9"/>
    <w:rsid w:val="00DD4121"/>
    <w:rsid w:val="00DD5989"/>
    <w:rsid w:val="00DF11DE"/>
    <w:rsid w:val="00DF3DE1"/>
    <w:rsid w:val="00E2064A"/>
    <w:rsid w:val="00E25C11"/>
    <w:rsid w:val="00E41B51"/>
    <w:rsid w:val="00E45FF4"/>
    <w:rsid w:val="00E524C5"/>
    <w:rsid w:val="00E674AA"/>
    <w:rsid w:val="00EA3C1D"/>
    <w:rsid w:val="00EB30E9"/>
    <w:rsid w:val="00EB3CBE"/>
    <w:rsid w:val="00EC4A87"/>
    <w:rsid w:val="00EC7DD4"/>
    <w:rsid w:val="00ED4066"/>
    <w:rsid w:val="00F153AC"/>
    <w:rsid w:val="00F2454F"/>
    <w:rsid w:val="00F34853"/>
    <w:rsid w:val="00F424D3"/>
    <w:rsid w:val="00F43BED"/>
    <w:rsid w:val="00F52A61"/>
    <w:rsid w:val="00F826B1"/>
    <w:rsid w:val="00FC51CE"/>
    <w:rsid w:val="00FE3239"/>
    <w:rsid w:val="00FF2531"/>
    <w:rsid w:val="00FF5CBC"/>
    <w:rsid w:val="00FF6147"/>
    <w:rsid w:val="06981720"/>
    <w:rsid w:val="10277FE2"/>
    <w:rsid w:val="186F57AF"/>
    <w:rsid w:val="2E7A3CE1"/>
    <w:rsid w:val="495C0E7A"/>
    <w:rsid w:val="59DB4696"/>
    <w:rsid w:val="697FC1C7"/>
    <w:rsid w:val="6B956A06"/>
    <w:rsid w:val="6D096B88"/>
    <w:rsid w:val="75454162"/>
    <w:rsid w:val="77772891"/>
    <w:rsid w:val="7CFFC9F8"/>
    <w:rsid w:val="7D6338A0"/>
    <w:rsid w:val="7FFFCAF2"/>
    <w:rsid w:val="AF364AD0"/>
    <w:rsid w:val="F7DFDC3E"/>
    <w:rsid w:val="FBFBDB49"/>
    <w:rsid w:val="FFEFF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keepNext w:val="0"/>
      <w:keepLines w:val="0"/>
      <w:widowControl w:val="0"/>
      <w:suppressLineNumbers w:val="0"/>
      <w:ind w:left="420" w:firstLine="420" w:firstLineChars="20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Times New Roman" w:hAnsi="Times New Roman"/>
      <w:sz w:val="32"/>
      <w:szCs w:val="20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楷体_GB2312"/>
      <w:szCs w:val="22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79</Words>
  <Characters>454</Characters>
  <Lines>1</Lines>
  <Paragraphs>1</Paragraphs>
  <TotalTime>1</TotalTime>
  <ScaleCrop>false</ScaleCrop>
  <LinksUpToDate>false</LinksUpToDate>
  <CharactersWithSpaces>532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2019-01-19T08:06:00Z</dcterms:created>
  <dc:creator>hp</dc:creator>
  <cp:lastModifiedBy>kylin</cp:lastModifiedBy>
  <cp:lastPrinted>2021-09-28T22:41:00Z</cp:lastPrinted>
  <dcterms:modified xsi:type="dcterms:W3CDTF">2022-09-30T14:12:17Z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C8F06F55DB1E1E658D63DE62DC85AA58</vt:lpwstr>
  </property>
</Properties>
</file>