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Times New Roman" w:hAnsi="Times New Roman" w:eastAsia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jc w:val="right"/>
        <w:rPr>
          <w:rFonts w:hint="eastAsia" w:ascii="Times New Roman" w:hAnsi="Times New Roman" w:eastAsia="仿宋_GB2312"/>
          <w:b/>
          <w:color w:val="auto"/>
          <w:spacing w:val="-10"/>
          <w:sz w:val="24"/>
        </w:rPr>
      </w:pPr>
      <w:r>
        <w:rPr>
          <w:rFonts w:hint="eastAsia" w:ascii="Times New Roman" w:hAnsi="Times New Roman" w:eastAsia="仿宋_GB2312"/>
          <w:color w:val="auto"/>
          <w:spacing w:val="-10"/>
          <w:sz w:val="24"/>
        </w:rPr>
        <w:t>编号：</w:t>
      </w:r>
      <w:r>
        <w:rPr>
          <w:rFonts w:hint="eastAsia" w:ascii="Times New Roman" w:hAnsi="Times New Roman" w:eastAsia="仿宋_GB2312" w:cs="宋体-18030"/>
          <w:color w:val="auto"/>
          <w:sz w:val="24"/>
        </w:rPr>
        <w:t>______________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jc w:val="right"/>
        <w:rPr>
          <w:rFonts w:hint="eastAsia" w:ascii="Times New Roman" w:hAnsi="Times New Roman" w:eastAsia="仿宋_GB2312"/>
          <w:color w:val="auto"/>
          <w:spacing w:val="-10"/>
          <w:sz w:val="24"/>
        </w:rPr>
      </w:pPr>
    </w:p>
    <w:p>
      <w:pPr>
        <w:keepNext w:val="0"/>
        <w:keepLines w:val="0"/>
        <w:pageBreakBefore w:val="0"/>
        <w:tabs>
          <w:tab w:val="center" w:pos="4365"/>
        </w:tabs>
        <w:kinsoku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黑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黑体"/>
          <w:color w:val="auto"/>
          <w:sz w:val="44"/>
          <w:szCs w:val="44"/>
        </w:rPr>
        <w:t>承</w:t>
      </w:r>
      <w:r>
        <w:rPr>
          <w:rFonts w:hint="eastAsia" w:ascii="Times New Roman" w:hAnsi="Times New Roman" w:eastAsia="黑体"/>
          <w:color w:val="auto"/>
          <w:sz w:val="44"/>
          <w:szCs w:val="44"/>
          <w:lang w:eastAsia="zh-CN"/>
        </w:rPr>
        <w:t>接</w:t>
      </w:r>
      <w:r>
        <w:rPr>
          <w:rFonts w:hint="eastAsia" w:ascii="Times New Roman" w:hAnsi="Times New Roman" w:eastAsia="黑体"/>
          <w:color w:val="auto"/>
          <w:sz w:val="44"/>
          <w:szCs w:val="44"/>
        </w:rPr>
        <w:t>政府补贴</w:t>
      </w:r>
      <w:r>
        <w:rPr>
          <w:rFonts w:hint="eastAsia" w:ascii="Times New Roman" w:hAnsi="Times New Roman" w:eastAsia="黑体"/>
          <w:color w:val="auto"/>
          <w:sz w:val="44"/>
          <w:szCs w:val="44"/>
          <w:lang w:eastAsia="zh-CN"/>
        </w:rPr>
        <w:t>职业</w:t>
      </w:r>
      <w:r>
        <w:rPr>
          <w:rFonts w:hint="eastAsia" w:ascii="Times New Roman" w:hAnsi="Times New Roman" w:eastAsia="黑体"/>
          <w:color w:val="auto"/>
          <w:sz w:val="44"/>
          <w:szCs w:val="44"/>
        </w:rPr>
        <w:t>培训</w:t>
      </w:r>
      <w:r>
        <w:rPr>
          <w:rFonts w:hint="eastAsia" w:ascii="Times New Roman" w:hAnsi="Times New Roman" w:eastAsia="黑体"/>
          <w:color w:val="auto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黑体"/>
          <w:color w:val="auto"/>
          <w:sz w:val="44"/>
          <w:szCs w:val="44"/>
        </w:rPr>
        <w:t>协议</w:t>
      </w:r>
      <w:r>
        <w:rPr>
          <w:rFonts w:hint="eastAsia" w:ascii="Times New Roman" w:hAnsi="Times New Roman" w:eastAsia="黑体"/>
          <w:color w:val="auto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tabs>
          <w:tab w:val="center" w:pos="4365"/>
        </w:tabs>
        <w:kinsoku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楷体_GB2312" w:cs="楷体_GB2312"/>
          <w:color w:val="auto"/>
          <w:sz w:val="36"/>
          <w:szCs w:val="36"/>
        </w:rPr>
      </w:pPr>
      <w:r>
        <w:rPr>
          <w:rFonts w:hint="eastAsia" w:ascii="Times New Roman" w:hAnsi="Times New Roman" w:eastAsia="楷体_GB2312" w:cs="楷体_GB2312"/>
          <w:color w:val="auto"/>
          <w:sz w:val="36"/>
          <w:szCs w:val="36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6"/>
          <w:szCs w:val="36"/>
          <w:lang w:eastAsia="zh-CN"/>
        </w:rPr>
        <w:t>参考文本</w:t>
      </w:r>
      <w:r>
        <w:rPr>
          <w:rFonts w:hint="eastAsia" w:ascii="Times New Roman" w:hAnsi="Times New Roman" w:eastAsia="楷体_GB2312" w:cs="楷体_GB2312"/>
          <w:color w:val="auto"/>
          <w:sz w:val="36"/>
          <w:szCs w:val="36"/>
        </w:rPr>
        <w:t>）</w:t>
      </w:r>
    </w:p>
    <w:p>
      <w:pPr>
        <w:keepNext w:val="0"/>
        <w:keepLines w:val="0"/>
        <w:pageBreakBefore w:val="0"/>
        <w:tabs>
          <w:tab w:val="center" w:pos="4365"/>
        </w:tabs>
        <w:kinsoku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eastAsia" w:ascii="Times New Roman" w:hAnsi="Times New Roman" w:eastAsia="黑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甲方：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（区人社局）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乙方：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（培训机构）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为贯彻落实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职业技能培训法律法规及相关规定，切实做好政府补贴职业培训项目的组织实施和监督管理工作，经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双方平等协商，签订本协议。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宋体-18030"/>
          <w:color w:val="000000"/>
          <w:sz w:val="28"/>
          <w:szCs w:val="28"/>
          <w:lang w:eastAsia="zh-CN"/>
        </w:rPr>
        <w:t>协议事项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仿宋_GB2312" w:cs="宋体-18030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000000"/>
          <w:sz w:val="28"/>
          <w:szCs w:val="28"/>
          <w:lang w:eastAsia="zh-CN"/>
        </w:rPr>
        <w:t>经乙方申请，</w:t>
      </w:r>
      <w:r>
        <w:rPr>
          <w:rFonts w:hint="eastAsia" w:ascii="Times New Roman" w:hAnsi="Times New Roman" w:eastAsia="仿宋_GB2312" w:cs="宋体-18030"/>
          <w:color w:val="000000"/>
          <w:sz w:val="28"/>
          <w:szCs w:val="28"/>
        </w:rPr>
        <w:t>甲方</w:t>
      </w:r>
      <w:r>
        <w:rPr>
          <w:rFonts w:hint="eastAsia" w:ascii="Times New Roman" w:hAnsi="Times New Roman" w:eastAsia="仿宋_GB2312" w:cs="宋体-18030"/>
          <w:color w:val="000000"/>
          <w:sz w:val="28"/>
          <w:szCs w:val="28"/>
          <w:lang w:eastAsia="zh-CN"/>
        </w:rPr>
        <w:t>审核同意乙方在相关部门批准职业（工种）和技能等级范围内，按照相关规定承接政府补贴职业培训项目。乙方承诺按照职业技能培训相关规定，在甲方的业务指导和监督管理下，组织开展政府补贴职业培训项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二、协议期限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仿宋_GB2312" w:cs="宋体-1803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000000"/>
          <w:sz w:val="28"/>
          <w:szCs w:val="28"/>
          <w:lang w:eastAsia="zh-CN"/>
        </w:rPr>
        <w:t>自本协议生效之日起</w:t>
      </w:r>
      <w:r>
        <w:rPr>
          <w:rFonts w:hint="eastAsia" w:ascii="Times New Roman" w:hAnsi="Times New Roman" w:eastAsia="仿宋_GB2312" w:cs="宋体-18030"/>
          <w:color w:val="000000"/>
          <w:sz w:val="28"/>
          <w:szCs w:val="28"/>
          <w:lang w:val="en-US" w:eastAsia="zh-CN"/>
        </w:rPr>
        <w:t>2年。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三、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甲方的权利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80" w:lineRule="exact"/>
        <w:ind w:firstLine="0" w:firstLineChars="0"/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1、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承接的政府补贴职业培训项目，进行开班审核、日常管理和业务指导；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0"/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承接的政府补贴职业培训项目，进行抽查检查和培训效果评估；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0"/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承接的政府补贴职业培训项目实施过程中发现的问题进行查核，并依据有关规定进行处理。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0"/>
        <w:rPr>
          <w:rFonts w:hint="default" w:ascii="Times New Roman" w:hAnsi="Times New Roman" w:eastAsia="仿宋_GB2312" w:cs="宋体-1803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甲方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的义务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与乙方签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订本协议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后，向社会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布乙方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可承接的政府补贴职业培训项目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</w:rPr>
        <w:t>相关信息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2、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开展政府补贴职业培训项目提供政策咨询、工作指导，帮助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协调解决培训中出现的相关问题；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3、受理、审核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提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交的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政府补贴职业培训项目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补贴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资金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申请，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符合条件的，按照相关规定及时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拨付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补贴资金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、乙方的权利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1、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eastAsia="zh-CN"/>
        </w:rPr>
        <w:t>按照相关部门批准职业（工种）和技能等级，申请承接政府补贴职业培训项目；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28"/>
          <w:szCs w:val="28"/>
          <w:lang w:val="en-US" w:eastAsia="zh-CN"/>
        </w:rPr>
        <w:t>2、对承接的政府补贴职业培训项目，按照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国家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职业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技能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标准和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本市相关规定，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自主开展职业技能培训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3、完成政府补贴职业培训项目并达到相关审核标准的，享受相应补贴资金。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default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黑体" w:cs="宋体-18030"/>
          <w:color w:val="auto"/>
          <w:spacing w:val="0"/>
          <w:sz w:val="28"/>
          <w:szCs w:val="28"/>
        </w:rPr>
        <w:t>乙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方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的义务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对承接的政府补贴职业培训项目，严格按照国家职业技能标准、甲方审核批准的培训计划组织实施培训，不得擅自调整培训计划、调换师资、变更培训场地和设施设备；</w:t>
      </w:r>
      <w:r>
        <w:rPr>
          <w:rFonts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对承接的政府补贴职业培训项目，严格按照相关规定对报名参加培训人员进行身份、技能等级等资格条件审核；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default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对参加政府补贴职业培训项目人员，严格进行考勤管理、教学管理和考核评价；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主动接受甲方的业务指导、日常管理和监督检查，并如实提供相关材料，对甲方指出的问题积极进行整改；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spacing w:val="-4"/>
          <w:sz w:val="28"/>
          <w:szCs w:val="28"/>
        </w:rPr>
      </w:pPr>
      <w:r>
        <w:rPr>
          <w:rFonts w:ascii="Times New Roman" w:hAnsi="Times New Roman" w:eastAsia="仿宋_GB2312" w:cs="宋体-18030"/>
          <w:spacing w:val="-4"/>
          <w:sz w:val="28"/>
          <w:szCs w:val="28"/>
        </w:rPr>
        <w:t>5</w:t>
      </w:r>
      <w:r>
        <w:rPr>
          <w:rFonts w:hint="eastAsia" w:ascii="Times New Roman" w:hAnsi="Times New Roman" w:eastAsia="仿宋_GB2312" w:cs="宋体-18030"/>
          <w:spacing w:val="-4"/>
          <w:sz w:val="28"/>
          <w:szCs w:val="28"/>
        </w:rPr>
        <w:t>、遵守《天津市承接政府补贴职业培训</w:t>
      </w:r>
      <w:r>
        <w:rPr>
          <w:rFonts w:hint="eastAsia" w:ascii="Times New Roman" w:hAnsi="Times New Roman" w:eastAsia="仿宋_GB2312" w:cs="宋体-18030"/>
          <w:spacing w:val="-4"/>
          <w:sz w:val="28"/>
          <w:szCs w:val="28"/>
          <w:lang w:eastAsia="zh-CN"/>
        </w:rPr>
        <w:t>机构</w:t>
      </w:r>
      <w:r>
        <w:rPr>
          <w:rFonts w:hint="eastAsia" w:ascii="Times New Roman" w:hAnsi="Times New Roman" w:eastAsia="仿宋_GB2312" w:cs="宋体-18030"/>
          <w:spacing w:val="-4"/>
          <w:sz w:val="28"/>
          <w:szCs w:val="28"/>
        </w:rPr>
        <w:t>协议管理办法》等规定。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auto"/>
          <w:sz w:val="28"/>
          <w:szCs w:val="28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七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、违约责任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1、在履行本协议期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间，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出现违反职业培训法律法规及相关规定行为的，按照相关规定进行处理。同时，甲方可根据具体情形暂缓拨付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、不予拨付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全部或部分补贴资金，对已拨付的补贴资金全部或部分予以追回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2、乙方在本协议履行期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间，有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下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列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情形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之一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的，甲方可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以随时单方面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解除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本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协议：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）因违反职业培训相关法律法规受到行政处罚的；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）培训场地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设施设备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、师资队伍等与签订本协议时发生重大变化，不能满足相关培训要求的；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在培训过程中弄虚作假骗取补贴资金的；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发生重大安全生产事故，造成严重社会影响的；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民办职业培训机构上年度培训质量评估结果为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C级及以下的；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（6）应当解除本协议的其他情形。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被解除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协议的，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应在甲方指导下妥善做好相关后续工作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八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</w:rPr>
        <w:t>、其他</w:t>
      </w:r>
      <w:r>
        <w:rPr>
          <w:rFonts w:hint="eastAsia" w:ascii="Times New Roman" w:hAnsi="Times New Roman" w:eastAsia="黑体" w:cs="宋体-18030"/>
          <w:color w:val="auto"/>
          <w:sz w:val="28"/>
          <w:szCs w:val="28"/>
          <w:lang w:eastAsia="zh-CN"/>
        </w:rPr>
        <w:t>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1、甲乙双方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经协商一致，可以按照有关规定变更、解除或终止本协议。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因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本市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政府补贴职业培训项目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调整，乙方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承接的全部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未纳入补贴范围的，本协议自动终止。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、甲乙双方就其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他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未尽事宜订立以下补充条款：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jc w:val="lef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（1）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  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jc w:val="lef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（2）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  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jc w:val="lef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（3）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  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、本协议附件包括：乙方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《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补贴培训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目录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》、《设施设备清单》、《教师花名册》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附件作为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本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协议的组成部分，与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本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协议具有同等效力。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、在履行本协议过程中发生争议，甲乙双方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应当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协商解决，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经协商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未达成一致的，可向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甲方所在地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人民法院提起诉讼。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6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、本协议自甲乙双方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盖章并经法定代表人或负责人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签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字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之日起生效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。本协议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一式四份，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双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各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执二份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eastAsia="zh-CN"/>
        </w:rPr>
        <w:t>，具有同等法律效力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ind w:firstLine="544" w:firstLineChars="200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甲方：（盖章）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 xml:space="preserve">   乙方：（盖章）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法定代表人：（签字）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法定代表人：（签字）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联系人：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联系人：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签订日期：   年  月 日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28"/>
          <w:szCs w:val="28"/>
        </w:rPr>
        <w:t>签订日期：   年  月 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协议的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补贴培训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ascii="Times New Roman" w:hAnsi="Times New Roman" w:eastAsia="仿宋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</w:rPr>
        <w:t>名称：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ascii="Times New Roman" w:hAnsi="Times New Roman" w:eastAsia="仿宋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</w:rPr>
        <w:t>地址：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ascii="Times New Roman" w:hAnsi="Times New Roman" w:eastAsia="仿宋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负责人：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/>
          <w:color w:val="auto"/>
          <w:sz w:val="28"/>
          <w:szCs w:val="28"/>
        </w:rPr>
        <w:t>办公电话：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"/>
          <w:color w:val="auto"/>
          <w:sz w:val="28"/>
          <w:szCs w:val="28"/>
        </w:rPr>
        <w:t>手机：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eastAsia" w:ascii="Times New Roman" w:hAnsi="Times New Roman" w:eastAsia="仿宋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联系人：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/>
          <w:color w:val="auto"/>
          <w:sz w:val="28"/>
          <w:szCs w:val="28"/>
        </w:rPr>
        <w:t>办公电话：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"/>
          <w:color w:val="auto"/>
          <w:sz w:val="28"/>
          <w:szCs w:val="28"/>
        </w:rPr>
        <w:t>手机：</w:t>
      </w: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Times New Roman" w:hAnsi="Times New Roman" w:eastAsia="仿宋"/>
          <w:b/>
          <w:color w:val="auto"/>
          <w:sz w:val="28"/>
          <w:szCs w:val="28"/>
        </w:rPr>
      </w:pPr>
    </w:p>
    <w:tbl>
      <w:tblPr>
        <w:tblStyle w:val="8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701"/>
        <w:gridCol w:w="1134"/>
        <w:gridCol w:w="113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职业名称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职业编码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最高  等级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同期培训规模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  <w:lang w:eastAsia="zh-CN"/>
        </w:rPr>
        <w:t>协议</w:t>
      </w:r>
      <w:r>
        <w:rPr>
          <w:rFonts w:hint="eastAsia" w:eastAsia="黑体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设施设备清单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</w:rPr>
        <w:t>名称（加盖公章）：</w:t>
      </w:r>
    </w:p>
    <w:tbl>
      <w:tblPr>
        <w:tblStyle w:val="8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701"/>
        <w:gridCol w:w="18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培训职业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设备名称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设备型号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协议的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  <w:t>教师花名册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150" w:firstLineChars="50"/>
        <w:rPr>
          <w:rFonts w:ascii="Times New Roman" w:hAnsi="Times New Roman" w:eastAsia="仿宋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30"/>
          <w:szCs w:val="30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</w:rPr>
        <w:t>名称（加盖公章）：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65"/>
        <w:gridCol w:w="591"/>
        <w:gridCol w:w="591"/>
        <w:gridCol w:w="600"/>
        <w:gridCol w:w="956"/>
        <w:gridCol w:w="903"/>
        <w:gridCol w:w="1153"/>
        <w:gridCol w:w="716"/>
        <w:gridCol w:w="1215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职业资格名称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资格  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担任培训课程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  <w:t>专职/  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eastAsia="仿宋_GB2312"/>
                <w:b/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Times New Roman" w:eastAsia="仿宋_GB2312"/>
          <w:sz w:val="32"/>
        </w:rPr>
      </w:pPr>
    </w:p>
    <w:p>
      <w:pPr>
        <w:pStyle w:val="2"/>
        <w:ind w:left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ind w:left="210" w:leftChars="100" w:right="210" w:rightChars="100"/>
        <w:rPr>
          <w:rFonts w:hint="eastAsia"/>
        </w:rPr>
      </w:pP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5601335" cy="0"/>
                <wp:effectExtent l="0" t="9525" r="18415" b="9525"/>
                <wp:wrapNone/>
                <wp:docPr id="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3.5pt;height:0pt;width:441.05pt;z-index:251660288;mso-width-relative:page;mso-height-relative:page;" filled="f" stroked="t" coordsize="21600,21600" o:gfxdata="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wLzq9IAAAAFAQAADwAAAAAAAAABACAAAAAiAAAAZHJzL2Rvd25y&#10;ZXYueG1sUEsBAhQAFAAAAAgAh07iQMLNZX7LAQAAoQMAAA4AAAAAAAAAAQAgAAAAIQ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sz w:val="28"/>
          <w:szCs w:val="28"/>
        </w:rPr>
        <w:t xml:space="preserve">天津市人力资源和社会保障局办公室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default" w:eastAsia="仿宋_GB2312"/>
          <w:sz w:val="28"/>
          <w:szCs w:val="28"/>
          <w:lang w:val="en"/>
        </w:rPr>
        <w:t>1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default" w:ascii="Times New Roman" w:eastAsia="仿宋_GB2312"/>
          <w:sz w:val="28"/>
          <w:szCs w:val="28"/>
          <w:lang w:val="en"/>
        </w:rPr>
        <w:t>4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default" w:ascii="Times New Roman" w:eastAsia="仿宋_GB2312"/>
          <w:sz w:val="28"/>
          <w:szCs w:val="28"/>
          <w:lang w:val="en"/>
        </w:rPr>
        <w:t>30</w:t>
      </w:r>
      <w:r>
        <w:rPr>
          <w:rFonts w:hint="eastAsia" w:asci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D27B32A"/>
    <w:rsid w:val="3E66D703"/>
    <w:rsid w:val="3FF5B410"/>
    <w:rsid w:val="55F9F2F2"/>
    <w:rsid w:val="631FD842"/>
    <w:rsid w:val="66EDE15D"/>
    <w:rsid w:val="67DF23E5"/>
    <w:rsid w:val="6FEF35FF"/>
    <w:rsid w:val="75FD5D88"/>
    <w:rsid w:val="765B5F70"/>
    <w:rsid w:val="77EB5912"/>
    <w:rsid w:val="7EFB2F20"/>
    <w:rsid w:val="A337A203"/>
    <w:rsid w:val="BDFE2F8F"/>
    <w:rsid w:val="EFEFA1AD"/>
    <w:rsid w:val="F77FED91"/>
    <w:rsid w:val="FBB3B4F4"/>
    <w:rsid w:val="FBE75F66"/>
    <w:rsid w:val="FEB7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linhong</dc:creator>
  <cp:lastModifiedBy>qzuser</cp:lastModifiedBy>
  <cp:lastPrinted>2005-02-22T07:04:00Z</cp:lastPrinted>
  <dcterms:modified xsi:type="dcterms:W3CDTF">2021-05-07T02:00:26Z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EEC329F6E9024FDE9E5CBFBDAF655D73</vt:lpwstr>
  </property>
</Properties>
</file>