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小标宋体" w:eastAsia="长城小标宋体"/>
          <w:color w:val="auto"/>
          <w:spacing w:val="-20"/>
          <w:w w:val="70"/>
          <w:sz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1070610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4pt;margin-top:84.3pt;height:0pt;width:481.9pt;z-index:251658240;mso-width-relative:page;mso-height-relative:page;" filled="f" stroked="t" coordsize="21600,21600" o:gfxdata="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V7+cj9cAAAALAQAADwAAAAAAAAABACAAAAA4AAAAZHJz&#10;L2Rvd25yZXYueG1sUEsBAhQAFAAAAAgAh07iQBvnIybvAQAAxgMAAA4AAAAAAAAAAQAgAAAAPA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星简小标宋" w:eastAsia="文星简小标宋"/>
          <w:color w:val="auto"/>
          <w:spacing w:val="-12"/>
          <w:w w:val="64"/>
          <w:sz w:val="106"/>
          <w:szCs w:val="106"/>
        </w:rPr>
        <w:t>天津市人力资源和社会保障局</w:t>
      </w:r>
    </w:p>
    <w:p>
      <w:pPr>
        <w:ind w:right="-42" w:rightChars="-20" w:firstLine="5280" w:firstLineChars="165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津人</w:t>
      </w:r>
      <w:r>
        <w:rPr>
          <w:rFonts w:hint="eastAsia" w:eastAsia="仿宋_GB2312"/>
          <w:color w:val="000000"/>
          <w:sz w:val="32"/>
          <w:szCs w:val="32"/>
        </w:rPr>
        <w:t>社办函〔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default" w:eastAsia="仿宋_GB2312"/>
          <w:color w:val="000000"/>
          <w:sz w:val="32"/>
          <w:szCs w:val="32"/>
          <w:lang w:val="en"/>
        </w:rPr>
        <w:t>23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pStyle w:val="3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>
      <w:pPr>
        <w:pStyle w:val="3"/>
        <w:adjustRightInd w:val="0"/>
        <w:spacing w:line="440" w:lineRule="exact"/>
        <w:rPr>
          <w:rFonts w:hAnsi="宋体"/>
          <w:b/>
          <w:bCs/>
          <w:szCs w:val="44"/>
        </w:rPr>
      </w:pPr>
    </w:p>
    <w:p>
      <w:pPr>
        <w:pStyle w:val="3"/>
        <w:adjustRightInd w:val="0"/>
        <w:spacing w:line="600" w:lineRule="exact"/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  <w:t>市人社局关于202</w:t>
      </w:r>
      <w:r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  <w:lang w:val="en" w:eastAsia="zh-CN"/>
        </w:rPr>
        <w:t>3</w:t>
      </w:r>
      <w:r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  <w:t>年专业技术人员继续教育</w:t>
      </w:r>
    </w:p>
    <w:p>
      <w:pPr>
        <w:pStyle w:val="3"/>
        <w:adjustRightInd w:val="0"/>
        <w:spacing w:line="600" w:lineRule="exact"/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  <w:t>公需科目学习有关</w:t>
      </w:r>
      <w:r>
        <w:rPr>
          <w:rFonts w:hint="eastAsia" w:eastAsia="文星简小标宋" w:cs="Times New Roman"/>
          <w:b w:val="0"/>
          <w:bCs/>
          <w:color w:val="auto"/>
          <w:szCs w:val="44"/>
          <w:lang w:val="en-US" w:eastAsia="zh-CN"/>
        </w:rPr>
        <w:t>事项</w:t>
      </w:r>
      <w:r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  <w:t>的通知</w:t>
      </w: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各区人力资源和社会保障局，各委办局（集团公司）、人民团体、大专院校人力资源（教育）部门，有关单位：</w:t>
      </w:r>
    </w:p>
    <w:p>
      <w:pPr>
        <w:spacing w:line="600" w:lineRule="exact"/>
        <w:ind w:right="-42" w:rightChars="-2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贯彻党的二十大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和市第十二次党代会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我市专业技术人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综合素质，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根据《市人社局关于落实专业技术人才知识更新工程重点任务的通知》（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津人社办函〔202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620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广泛征集、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论证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，市人社局确定了我市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年专业技术人员继续教育公需科目（以下简称公需科目）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现就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有关事项通知如下：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参加人员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全市各类企事业单位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（含驻津）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及社会团体等组织中在职的专业技术人员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从事专业技术工作的自由职业者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、新就业形态劳动者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二、时间安排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621665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48.95pt;height:0pt;width:481.9pt;z-index:251659264;mso-width-relative:page;mso-height-relative:page;" filled="f" stroked="t" coordsize="21600,21600" o:gfxdata="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pPEf6NcAAAAJAQAADwAAAAAAAAABACAAAAA4AAAAZHJz&#10;L2Rvd25yZXYueG1sUEsBAhQAFAAAAAgAh07iQOiVucrvAQAAxgMAAA4AAAAAAAAAAQAgAAAAPA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公需科目学习时间为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年全年。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、学时规定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专业技术人员全年需完成公需科目32学时，其中，必修课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、学习内容和方式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必修课为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门，选修课为京津冀协同发展纵深推进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、制造业高质量发展、科教兴市人才强市、港产城融合发展、滨海新区高质量发展示范引领、中心城区更新提升、乡村振兴全面推进、绿色低碳发展、高品质生活创造、党建引领基层治理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门，详见《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年天津市专业技术人员继续教育公需科目指导目录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必修课可登录天津市专业技术人员继续教育网（网址：http://tjjxjy.chinahrt.com，以下简称继续教育网）进行免费学习，考核合格后取得相应学时；选修课可在继续教育网自主选课开展学习，也可参加由本区、本系统或本单位组织的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选修课范围的课程。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事宜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公需科目学习是专业技术人员继续教育的重要内容。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专业技术人员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继续教育学习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足额完成公需科目学时的，视为不符合继续教育学习要求。专业技术人员完成公需科目学习后，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应按规定及时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学时登记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在职称申报时作为佐证材料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未完成201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继续教育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公需科目学习任务的专业技术人员，202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年仍可通过继续教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育网“补学窗口”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学习，完成学习任务并经考核合格后，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计入补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学年份公需科目学时，从继续教育网打印培训合格证书。自202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年起，不再开展201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及以前各年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度公需科目补学。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）公需科目培训相关费用，可按国家有关规定从单位职工教育培训经费中列支。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本通知自印发之日起施行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2023年1月1日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之前已选但未修完的课程不结转计入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年度公需科目学时。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firstLine="64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联系部门：市人社局专业技术人员管理处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闵瑞琛</w:t>
      </w:r>
    </w:p>
    <w:p>
      <w:pPr>
        <w:pStyle w:val="2"/>
        <w:spacing w:line="600" w:lineRule="exact"/>
        <w:jc w:val="both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联系电话：022-83218426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left="1560" w:hanging="922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年天津市专业技术人员继续教育公需科目指</w:t>
      </w:r>
    </w:p>
    <w:p>
      <w:pPr>
        <w:adjustRightInd w:val="0"/>
        <w:spacing w:line="600" w:lineRule="exact"/>
        <w:ind w:left="1560" w:hanging="922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导目录</w:t>
      </w:r>
    </w:p>
    <w:p>
      <w:pPr>
        <w:numPr>
          <w:ilvl w:val="0"/>
          <w:numId w:val="1"/>
        </w:numPr>
        <w:adjustRightInd w:val="0"/>
        <w:spacing w:line="600" w:lineRule="exact"/>
        <w:ind w:left="1600" w:firstLine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600" w:lineRule="exact"/>
        <w:ind w:firstLine="5018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（此件主动公开）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br w:type="page"/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wordWrap/>
        <w:snapToGrid/>
        <w:spacing w:line="240" w:lineRule="auto"/>
        <w:rPr>
          <w:rFonts w:hAnsi="Times New Roman" w:eastAsia="黑体"/>
          <w:color w:val="000000"/>
          <w:kern w:val="0"/>
          <w:sz w:val="32"/>
          <w:szCs w:val="32"/>
        </w:rPr>
      </w:pPr>
    </w:p>
    <w:p>
      <w:pPr>
        <w:widowControl/>
        <w:wordWrap w:val="0"/>
        <w:snapToGrid w:val="0"/>
        <w:spacing w:line="600" w:lineRule="exact"/>
        <w:jc w:val="center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20</w:t>
      </w:r>
      <w:r>
        <w:rPr>
          <w:rFonts w:hint="eastAsia" w:hAnsi="Times New Roman" w:eastAsia="文星简小标宋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Ansi="Times New Roman" w:eastAsia="文星简小标宋"/>
          <w:color w:val="000000"/>
          <w:kern w:val="0"/>
          <w:sz w:val="44"/>
          <w:szCs w:val="44"/>
        </w:rPr>
        <w:t>年天津市专业技术人员继续教育</w:t>
      </w:r>
    </w:p>
    <w:p>
      <w:pPr>
        <w:widowControl/>
        <w:wordWrap w:val="0"/>
        <w:snapToGrid w:val="0"/>
        <w:spacing w:line="600" w:lineRule="exact"/>
        <w:jc w:val="center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公需科目指导目录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  <w:lang w:eastAsia="zh-CN"/>
        </w:rPr>
        <w:t>一、</w:t>
      </w:r>
      <w:r>
        <w:rPr>
          <w:rFonts w:hAnsi="Times New Roman" w:eastAsia="黑体"/>
          <w:color w:val="000000"/>
          <w:kern w:val="0"/>
          <w:sz w:val="32"/>
          <w:szCs w:val="32"/>
        </w:rPr>
        <w:t>必修课</w:t>
      </w:r>
      <w:r>
        <w:rPr>
          <w:rFonts w:hint="eastAsia" w:hAnsi="Times New Roman" w:eastAsia="黑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hAnsi="Times New Roman" w:eastAsia="黑体"/>
          <w:color w:val="000000"/>
          <w:kern w:val="0"/>
          <w:sz w:val="32"/>
          <w:szCs w:val="32"/>
          <w:lang w:val="en-US" w:eastAsia="zh-CN"/>
        </w:rPr>
        <w:t>3门</w:t>
      </w:r>
      <w:r>
        <w:rPr>
          <w:rFonts w:hint="eastAsia" w:hAnsi="Times New Roman" w:eastAsia="黑体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（一）加快构建新发展格局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着力推动高质量发展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（二）学习新思想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奋进新征程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（三）坚持全面依法治国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推进法治中国建设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hAnsi="Times New Roman" w:eastAsia="黑体"/>
          <w:color w:val="000000"/>
          <w:kern w:val="0"/>
          <w:sz w:val="32"/>
          <w:szCs w:val="32"/>
        </w:rPr>
        <w:t>选修课（</w:t>
      </w:r>
      <w:r>
        <w:rPr>
          <w:rFonts w:hint="default" w:hAnsi="Times New Roman" w:eastAsia="黑体"/>
          <w:color w:val="000000"/>
          <w:kern w:val="0"/>
          <w:sz w:val="32"/>
          <w:szCs w:val="32"/>
          <w:lang w:val="en" w:eastAsia="zh-CN"/>
        </w:rPr>
        <w:t>42</w:t>
      </w:r>
      <w:r>
        <w:rPr>
          <w:rFonts w:hint="eastAsia" w:hAnsi="Times New Roman" w:eastAsia="黑体"/>
          <w:color w:val="000000"/>
          <w:kern w:val="0"/>
          <w:sz w:val="32"/>
          <w:szCs w:val="32"/>
          <w:lang w:eastAsia="zh-CN"/>
        </w:rPr>
        <w:t>门</w:t>
      </w:r>
      <w:r>
        <w:rPr>
          <w:rFonts w:hAnsi="Times New Roman" w:eastAsia="黑体"/>
          <w:color w:val="000000"/>
          <w:kern w:val="0"/>
          <w:sz w:val="32"/>
          <w:szCs w:val="32"/>
        </w:rPr>
        <w:t>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（一）京津冀协同发展纵深推进（4门）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深入推进京津冀协同发展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2. 京津冀协同发展打造世界级城市群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3. 京津冀产业协同发展的进展与成就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构建更加有效的区域协调发展新机制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（二）制造业高质量发展（4门）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1.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建设制造强国</w:t>
      </w:r>
    </w:p>
    <w:p>
      <w:pPr>
        <w:widowControl/>
        <w:wordWrap w:val="0"/>
        <w:spacing w:line="600" w:lineRule="exact"/>
        <w:ind w:firstLine="640" w:firstLineChars="20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2.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数字化转型与智能制造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3. 绿色制造发展及应用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5G技术及其应用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（三）科教兴市人才强市（4门）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新时代我国科技强国建设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2. 学习习近平总书记关于教育的重要论述 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科技成果转化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数字经济技术技能人才培育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（四）港产城融合发展（4门）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1. 港产城融合发展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2. 智慧港口发展现状与展望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物流管理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消防安全与应急管理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（五）滨海新区高质量发展示范引领（4门）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1. 滨海新区高质量发展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新发展格局下的自贸区建设</w:t>
      </w:r>
    </w:p>
    <w:p>
      <w:pPr>
        <w:spacing w:line="600" w:lineRule="exact"/>
        <w:ind w:firstLine="640" w:firstLineChars="200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3. </w:t>
      </w:r>
      <w:r>
        <w:rPr>
          <w:rFonts w:hAnsi="Times New Roman" w:eastAsia="仿宋_GB2312"/>
          <w:color w:val="000000"/>
          <w:kern w:val="0"/>
          <w:sz w:val="32"/>
          <w:szCs w:val="32"/>
        </w:rPr>
        <w:t>建设更高水平开放型经济新体制</w:t>
      </w:r>
    </w:p>
    <w:p>
      <w:pPr>
        <w:spacing w:line="600" w:lineRule="exact"/>
        <w:ind w:firstLine="640" w:firstLineChars="200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新时代下的营商环境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（六）中心城区更新提升（4门）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青年友好型城市建设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文化产业高质量发展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新基建与未来智能交通发展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智慧社会管理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（七）乡村振兴全面推进（4门）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1. 数字乡村建设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粮食安全与农业风险管理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3. 推动农村一二三产业融合发展 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农村经济体制改革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（八）绿色低碳发展（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1. 推动绿色发展，促进人与自然和谐共生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碳达峰碳中和背景下的我国能源转型战略和前景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中国“双碳”政策解读及对企业发展的影响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生态环境保护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（九）高品质生活创造（6门）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就业问题与中国就业制度改革研究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后疫情时代与健康中国战略</w:t>
      </w:r>
    </w:p>
    <w:p>
      <w:pPr>
        <w:spacing w:line="600" w:lineRule="exact"/>
        <w:ind w:firstLine="641"/>
        <w:rPr>
          <w:rFonts w:hint="eastAsia" w:ascii="Times New Roman" w:eastAsia="仿宋_GB2312"/>
          <w:sz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3.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健全养老服务</w:t>
      </w:r>
    </w:p>
    <w:p>
      <w:pPr>
        <w:spacing w:line="600" w:lineRule="exact"/>
        <w:ind w:firstLine="641"/>
        <w:rPr>
          <w:rFonts w:hint="eastAsia" w:ascii="Times New Roman" w:eastAsia="仿宋_GB2312"/>
          <w:sz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食品安全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5.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青少年近视防控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6. 国学经典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（十）党建引领基层治理（4门）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学习理解《习近平谈治国理政》第四卷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《中国共产党组织工作条例》解读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坚持和完善共建共治共享的社会治理制度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新媒体与社会治理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sectPr>
      <w:footerReference r:id="rId5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E89F8"/>
    <w:multiLevelType w:val="singleLevel"/>
    <w:tmpl w:val="AFBE89F8"/>
    <w:lvl w:ilvl="0" w:tentative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EF73E54"/>
    <w:rsid w:val="3D3EB8A5"/>
    <w:rsid w:val="4B7D8013"/>
    <w:rsid w:val="4BAE31E5"/>
    <w:rsid w:val="5A6F7BFA"/>
    <w:rsid w:val="5FBF8EF0"/>
    <w:rsid w:val="7FBEFEE5"/>
    <w:rsid w:val="7FFF1FC3"/>
    <w:rsid w:val="9BCAAC55"/>
    <w:rsid w:val="AE7BBDED"/>
    <w:rsid w:val="CFFE1980"/>
    <w:rsid w:val="D67FA32F"/>
    <w:rsid w:val="D6B7556B"/>
    <w:rsid w:val="DAFF9875"/>
    <w:rsid w:val="EFFFD86E"/>
    <w:rsid w:val="F2FF9DAD"/>
    <w:rsid w:val="F7BDD8ED"/>
    <w:rsid w:val="F8FB0A3B"/>
    <w:rsid w:val="FBFF4A43"/>
    <w:rsid w:val="FD5DB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 w:bidi="ar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linhong</dc:creator>
  <cp:lastModifiedBy>kylin</cp:lastModifiedBy>
  <cp:lastPrinted>2023-01-17T15:45:00Z</cp:lastPrinted>
  <dcterms:modified xsi:type="dcterms:W3CDTF">2023-01-18T10:56:08Z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