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长城小标宋体" w:eastAsia="长城小标宋体"/>
          <w:color w:val="auto"/>
          <w:spacing w:val="-20"/>
          <w:w w:val="70"/>
          <w:sz w:val="2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1070610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4pt;margin-top:84.3pt;height:0pt;width:481.9pt;z-index:251658240;mso-width-relative:page;mso-height-relative:page;" filled="f" stroked="t" coordsize="21600,21600" o:gfxdata="UEsFBgAAAAAAAAAAAAAAAAAAAAAAAFBLAwQKAAAAAACHTuJAAAAAAAAAAAAAAAAABAAAAGRycy9Q&#10;SwMEFAAAAAgAh07iQFe/nI/XAAAACwEAAA8AAABkcnMvZG93bnJldi54bWxNj8FOwzAQRO9I/IO1&#10;SNxaJ6hK0xCnByQOSEhAyoGjm2yTgL0OtpuEv2eRkOC4M6PZN+V+sUZM6MPgSEG6TkAgNa4dqFPw&#10;erhf5SBC1NRq4wgVfGGAfXV5UeqidTO94FTHTnAJhUIr6GMcCylD06PVYe1GJPZOzlsd+fSdbL2e&#10;udwaeZMkmbR6IP7Q6xHvemw+6rPlFtp+nhbj356fHvu8nt/xYdqiUtdXaXILIuIS/8Lwg8/oUDHT&#10;0Z2pDcIoWG02jB7ZyPIMBCd26Y7XHX8VWZXy/4bqG1BLAwQUAAAACACHTuJAG+cjJu8BAADGAwAA&#10;DgAAAGRycy9lMm9Eb2MueG1srVNLjhMxEN0jcQfLe9LJjBiNWunMYsKwQRAJOEDFn25L/qnspJNL&#10;cAEkdrBiyZ7bMByDspPJwMwGIbJwyq7y83tVr+dXO2fZVmEywXd8NplyprwI0vi+4+/f3Ty75Cxl&#10;8BJs8Krje5X41eLpk/kYW3UWhmClQkYgPrVj7PiQc2ybJolBOUiTEJWnpA7oINMW+0YijITubHM2&#10;nV40Y0AZMQiVEp0uD0m+qPhaK5HfaJ1UZrbjxC3XFeu6LmuzmEPbI8TBiCMN+AcWDoynR09QS8jA&#10;NmgeQTkjMKSg80QE1wStjVBVA6mZTR+oeTtAVFULNSfFU5vS/4MVr7crZEbS7Djz4GhEtx+//fjw&#10;+ef3T7Tefv3CZqVJY0wt1V77FR53Ka6wKN5pdOWftLBdbez+1Fi1y0zQ4cWM1J1T/8Vdrrm/GDHl&#10;lyo4VoKOW+OLZmhh+ypleoxK70rKsQ83xto6N+vZSODnzwsykHu0hUyhi6Qn+Z4zsD3ZUmSsiClY&#10;I8vtgpOwX19bZFso1qi/IpRe+6OsPL2ENBzqaupgGmcyOdca1/HL021oBwXyhZcs7yP10pPpeSHp&#10;lOTMKiJToso+g7F/U0mMrCdiZQSHppdoHeSeJreJaPqB2pZxoyr/kiSzVCVHYxc3/r6vYPef3+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V7+cj9cAAAALAQAADwAAAAAAAAABACAAAAA4AAAAZHJz&#10;L2Rvd25yZXYueG1sUEsBAhQAFAAAAAgAh07iQBvnIybvAQAAxgMAAA4AAAAAAAAAAQAgAAAAPA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文星简小标宋" w:eastAsia="文星简小标宋"/>
          <w:color w:val="auto"/>
          <w:spacing w:val="-12"/>
          <w:w w:val="64"/>
          <w:sz w:val="106"/>
          <w:szCs w:val="106"/>
        </w:rPr>
        <w:t>天津市人力资源和社会保障局</w:t>
      </w:r>
    </w:p>
    <w:p>
      <w:pPr>
        <w:ind w:right="-42" w:rightChars="-20" w:firstLine="5280" w:firstLineChars="1650"/>
        <w:rPr>
          <w:rFonts w:hint="eastAsia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津人</w:t>
      </w:r>
      <w:r>
        <w:rPr>
          <w:rFonts w:hint="eastAsia" w:eastAsia="仿宋_GB2312"/>
          <w:color w:val="000000"/>
          <w:sz w:val="32"/>
          <w:szCs w:val="32"/>
        </w:rPr>
        <w:t>社办函〔</w:t>
      </w: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default" w:eastAsia="仿宋_GB2312"/>
          <w:color w:val="000000"/>
          <w:sz w:val="32"/>
          <w:szCs w:val="32"/>
          <w:lang w:val="en" w:eastAsia="zh-CN"/>
        </w:rPr>
        <w:t>4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hint="default" w:eastAsia="仿宋_GB2312"/>
          <w:color w:val="000000"/>
          <w:sz w:val="32"/>
          <w:szCs w:val="32"/>
          <w:lang w:val="en"/>
        </w:rPr>
        <w:t>19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pStyle w:val="2"/>
        <w:adjustRightInd w:val="0"/>
        <w:spacing w:line="440" w:lineRule="exact"/>
        <w:rPr>
          <w:rFonts w:hAnsi="宋体" w:eastAsia="仿宋_GB2312"/>
          <w:b/>
          <w:bCs/>
          <w:sz w:val="32"/>
          <w:szCs w:val="44"/>
        </w:rPr>
      </w:pPr>
    </w:p>
    <w:p>
      <w:pPr>
        <w:pStyle w:val="2"/>
        <w:adjustRightInd w:val="0"/>
        <w:spacing w:line="440" w:lineRule="exact"/>
        <w:rPr>
          <w:rFonts w:hAnsi="宋体"/>
          <w:b/>
          <w:bCs/>
          <w:szCs w:val="44"/>
        </w:rPr>
      </w:pPr>
    </w:p>
    <w:p>
      <w:pPr>
        <w:pStyle w:val="2"/>
        <w:adjustRightInd w:val="0"/>
        <w:spacing w:line="600" w:lineRule="exact"/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  <w:t>市人社局关于2024年专业技术人员继续教育</w:t>
      </w:r>
    </w:p>
    <w:p>
      <w:pPr>
        <w:pStyle w:val="2"/>
        <w:adjustRightInd w:val="0"/>
        <w:spacing w:line="600" w:lineRule="exact"/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Cs w:val="44"/>
        </w:rPr>
        <w:t>公需科目学习有关事项的通知</w:t>
      </w:r>
    </w:p>
    <w:p>
      <w:pPr>
        <w:pStyle w:val="2"/>
        <w:spacing w:line="600" w:lineRule="exact"/>
        <w:rPr>
          <w:rFonts w:hint="eastAsia" w:ascii="Times New Roman" w:hAnsi="Times New Roman" w:eastAsia="文星简小标宋"/>
          <w:sz w:val="32"/>
          <w:szCs w:val="32"/>
        </w:rPr>
      </w:pPr>
    </w:p>
    <w:p>
      <w:pPr>
        <w:adjustRightInd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各区人力资源和社会保障局，各委办局（集团公司）、人民团体、大专院校人力资源（教育）部门，有关单位：</w:t>
      </w:r>
    </w:p>
    <w:p>
      <w:pPr>
        <w:spacing w:line="600" w:lineRule="exact"/>
        <w:ind w:right="-42" w:rightChars="-2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贯彻党的二十大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中央人才工作会议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进一步提升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我市专业技术人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综合素质，</w:t>
      </w:r>
      <w:r>
        <w:rPr>
          <w:rFonts w:hint="eastAsia" w:ascii="Times New Roman" w:eastAsia="仿宋_GB2312"/>
          <w:sz w:val="32"/>
          <w:szCs w:val="32"/>
        </w:rPr>
        <w:t>聚焦服务</w:t>
      </w:r>
      <w:r>
        <w:rPr>
          <w:rFonts w:hint="eastAsia" w:eastAsia="仿宋_GB2312"/>
          <w:sz w:val="32"/>
          <w:szCs w:val="32"/>
          <w:lang w:eastAsia="zh-CN"/>
        </w:rPr>
        <w:t>市委市政府</w:t>
      </w:r>
      <w:r>
        <w:rPr>
          <w:rFonts w:hint="eastAsia" w:asci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eastAsia="仿宋_GB2312"/>
          <w:sz w:val="32"/>
          <w:szCs w:val="32"/>
        </w:rPr>
        <w:t>十项行动</w:t>
      </w:r>
      <w:r>
        <w:rPr>
          <w:rFonts w:hint="eastAsia" w:ascii="Times New Roman" w:eastAsia="仿宋_GB2312"/>
          <w:sz w:val="32"/>
          <w:szCs w:val="32"/>
          <w:lang w:eastAsia="zh-CN"/>
        </w:rPr>
        <w:t>”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我市继续教育有关规定及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《市人社局关于落实专业技术人才知识更新工程重点任务的通知》（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津人社办函〔202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620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广泛征集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论证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，并征求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专业技术人才知识更新工程指导协调小组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eastAsia="zh-CN"/>
        </w:rPr>
        <w:t>成员单位意见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市人社局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确定了我市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年专业技术人员继续教育公需科目（以下简称公需科目）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现就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有关事项通知如下：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参加人员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全市各类企事业单位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（含驻津）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及社会团体等组织中在职的专业技术人员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，以及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从事专业技术工作的自由职业者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、新就业形态劳动者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二、时间安排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公需科目学习时间为202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年全年。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、学时规定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专业技术人员全年需完成公需科目32学时，其中，必修课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选修课2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学时。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、学习内容和方式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必修课为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门，选修课为京津冀协同发展走深走实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、制造业高质量发展、科教兴市人才强市、港产城融合发展、滨海新区高质量发展支撑引领、中心城区更新提升、乡村振兴全面推进、绿色低碳发展、高品质生活创造、党建引领基层治理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类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4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门，详见《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年天津市专业技术人员继续教育公需科目指导目录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）。</w:t>
      </w:r>
    </w:p>
    <w:p>
      <w:pPr>
        <w:adjustRightInd w:val="0"/>
        <w:spacing w:line="60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必修课可登录天津市专业技术人员继续教育网（网址：http://tjjxjy.chinahrt.com，以下简称继续教育网）进行免费学习，考核合格后取得相应学时；选修课可在继续教育网自主选课开展学习，也可参加由本区、本系统或本单位组织的符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选修课范围的课程。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事宜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公需科目学习是专业技术人员继续教育的重要内容。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专业技术人员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继续教育学习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足额完成公需科目学时的，视为不符合继续教育学习要求。专业技术人员完成公需科目学习后，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应按规定及时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学时登记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详见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天津市专业技术人员继续教育学时年度登记表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  <w:t>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在职称申报时作为佐证材料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未完成20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继续教育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公需科目学习任务的专业技术人员，202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年仍可通过继续教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育网“补学窗口”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学习，完成学习任务并经考核合格后，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计入补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学年份公需科目学时，从继续教育网打印培训合格证书。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）公需科目培训相关费用，可按国家有关规定从单位职工教育培训经费中列支。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本通知自印发之日起施行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2024年1月1日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之前已选但未修完的课程不结转计入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年度公需科目学时。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：市人社局专业技术人员管理处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闵瑞琛</w:t>
      </w:r>
      <w:r>
        <w:rPr>
          <w:rFonts w:hint="eastAsia" w:eastAsia="仿宋_GB2312" w:cs="Times New Roman"/>
          <w:color w:val="auto"/>
          <w:sz w:val="32"/>
          <w:szCs w:val="32"/>
          <w:lang w:val="en" w:eastAsia="zh-CN"/>
        </w:rPr>
        <w:t>、王世鹏</w:t>
      </w:r>
    </w:p>
    <w:p>
      <w:pPr>
        <w:pStyle w:val="7"/>
        <w:spacing w:line="600" w:lineRule="exact"/>
        <w:jc w:val="both"/>
        <w:rPr>
          <w:rFonts w:hint="default" w:ascii="Times New Roman" w:hAnsi="Times New Roman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联系电话：83218426、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8321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  <w:t>132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adjustRightInd w:val="0"/>
        <w:spacing w:line="600" w:lineRule="exact"/>
        <w:ind w:left="1560" w:hanging="922"/>
        <w:jc w:val="both"/>
        <w:rPr>
          <w:rFonts w:hint="default" w:eastAsia="仿宋_GB2312" w:cs="Times New Roman"/>
          <w:color w:val="auto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1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2024年天津市专业技术人员继续教育公需科目</w:t>
      </w:r>
    </w:p>
    <w:p>
      <w:pPr>
        <w:adjustRightInd w:val="0"/>
        <w:spacing w:line="600" w:lineRule="exact"/>
        <w:ind w:left="1560" w:hanging="922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 xml:space="preserve"> </w:t>
      </w:r>
      <w:r>
        <w:rPr>
          <w:rFonts w:hint="default" w:eastAsia="仿宋_GB2312" w:cs="Times New Roman"/>
          <w:color w:val="auto"/>
          <w:sz w:val="32"/>
          <w:szCs w:val="32"/>
          <w:lang w:val="en"/>
        </w:rPr>
        <w:t>指导目录</w:t>
      </w:r>
    </w:p>
    <w:p>
      <w:pPr>
        <w:numPr>
          <w:ilvl w:val="-1"/>
          <w:numId w:val="0"/>
        </w:numPr>
        <w:adjustRightInd w:val="0"/>
        <w:spacing w:line="600" w:lineRule="exact"/>
        <w:ind w:left="0" w:leftChars="0" w:firstLine="1600" w:firstLineChars="5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天津市专业技术人员继续教育学时年度登记表</w:t>
      </w:r>
    </w:p>
    <w:p>
      <w:pPr>
        <w:adjustRightInd w:val="0"/>
        <w:spacing w:line="600" w:lineRule="exact"/>
        <w:ind w:firstLine="64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spacing w:line="600" w:lineRule="exact"/>
        <w:rPr>
          <w:rFonts w:hint="default" w:ascii="Times New Roman" w:hAnsi="Times New Roman"/>
        </w:rPr>
      </w:pPr>
    </w:p>
    <w:p>
      <w:pPr>
        <w:spacing w:line="600" w:lineRule="exact"/>
        <w:ind w:firstLine="5018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4160" w:firstLineChars="13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2"/>
        <w:adjustRightInd w:val="0"/>
        <w:spacing w:line="600" w:lineRule="exact"/>
        <w:jc w:val="both"/>
        <w:rPr>
          <w:rFonts w:hint="default" w:ascii="Times New Roman" w:hAnsi="Times New Roman" w:eastAsia="文星简小标宋" w:cs="Times New Roman"/>
          <w:b w:val="0"/>
          <w:bCs/>
          <w:color w:val="auto"/>
          <w:szCs w:val="44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（此件主动公开）</w:t>
      </w: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widowControl/>
        <w:wordWrap w:val="0"/>
        <w:snapToGrid w:val="0"/>
        <w:spacing w:line="600" w:lineRule="exact"/>
        <w:rPr>
          <w:rFonts w:hint="eastAsia" w:hAnsi="Times New Roman" w:eastAsia="黑体"/>
          <w:color w:val="000000"/>
          <w:kern w:val="0"/>
          <w:sz w:val="32"/>
          <w:szCs w:val="32"/>
        </w:rPr>
      </w:pPr>
      <w:r>
        <w:rPr>
          <w:rFonts w:hAnsi="Times New Roman" w:eastAsia="黑体"/>
          <w:color w:val="000000"/>
          <w:kern w:val="0"/>
          <w:sz w:val="32"/>
          <w:szCs w:val="32"/>
        </w:rPr>
        <w:t>附件</w:t>
      </w:r>
      <w:r>
        <w:rPr>
          <w:rFonts w:hint="default" w:hAnsi="Times New Roman" w:eastAsia="黑体"/>
          <w:color w:val="000000"/>
          <w:kern w:val="0"/>
          <w:sz w:val="32"/>
          <w:szCs w:val="32"/>
          <w:lang w:val="en"/>
        </w:rPr>
        <w:t>1</w:t>
      </w:r>
    </w:p>
    <w:p>
      <w:pPr>
        <w:widowControl/>
        <w:wordWrap w:val="0"/>
        <w:snapToGrid w:val="0"/>
        <w:spacing w:line="600" w:lineRule="exact"/>
        <w:rPr>
          <w:rFonts w:hAnsi="Times New Roman" w:eastAsia="黑体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jc w:val="center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20</w:t>
      </w:r>
      <w:r>
        <w:rPr>
          <w:rFonts w:hint="eastAsia" w:hAnsi="Times New Roman" w:eastAsia="文星简小标宋"/>
          <w:color w:val="000000"/>
          <w:kern w:val="0"/>
          <w:sz w:val="44"/>
          <w:szCs w:val="44"/>
        </w:rPr>
        <w:t>2</w:t>
      </w:r>
      <w:r>
        <w:rPr>
          <w:rFonts w:hint="eastAsia" w:hAnsi="Times New Roman" w:eastAsia="文星简小标宋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Ansi="Times New Roman" w:eastAsia="文星简小标宋"/>
          <w:color w:val="000000"/>
          <w:kern w:val="0"/>
          <w:sz w:val="44"/>
          <w:szCs w:val="44"/>
        </w:rPr>
        <w:t>年天津市专业技术人员继续教育</w:t>
      </w:r>
    </w:p>
    <w:p>
      <w:pPr>
        <w:widowControl/>
        <w:wordWrap w:val="0"/>
        <w:spacing w:line="600" w:lineRule="exact"/>
        <w:jc w:val="center"/>
        <w:rPr>
          <w:rFonts w:hAnsi="Times New Roman" w:eastAsia="文星简小标宋"/>
          <w:color w:val="000000"/>
          <w:kern w:val="0"/>
          <w:sz w:val="44"/>
          <w:szCs w:val="44"/>
        </w:rPr>
      </w:pPr>
      <w:r>
        <w:rPr>
          <w:rFonts w:hAnsi="Times New Roman" w:eastAsia="文星简小标宋"/>
          <w:color w:val="000000"/>
          <w:kern w:val="0"/>
          <w:sz w:val="44"/>
          <w:szCs w:val="44"/>
        </w:rPr>
        <w:t>公需科目指导目录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黑体"/>
          <w:color w:val="000000"/>
          <w:kern w:val="0"/>
          <w:sz w:val="32"/>
          <w:szCs w:val="32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</w:rPr>
        <w:t>一、</w:t>
      </w:r>
      <w:r>
        <w:rPr>
          <w:rFonts w:hAnsi="Times New Roman" w:eastAsia="黑体"/>
          <w:color w:val="000000"/>
          <w:kern w:val="0"/>
          <w:sz w:val="32"/>
          <w:szCs w:val="32"/>
        </w:rPr>
        <w:t>必修课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黑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（一）实施科教兴国战略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强化现代化建设人才支撑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（二）推进国家安全体系和能力现代化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坚决维护国家安全和社会稳定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（三）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法治建设与国家治理现代化</w:t>
      </w:r>
    </w:p>
    <w:p>
      <w:pPr>
        <w:widowControl/>
        <w:wordWrap w:val="0"/>
        <w:spacing w:line="600" w:lineRule="exact"/>
        <w:ind w:firstLine="640"/>
        <w:jc w:val="left"/>
        <w:rPr>
          <w:rFonts w:hint="default" w:hAnsi="Times New Roman" w:eastAsia="仿宋_GB2312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（四）数字技术领域新职业</w:t>
      </w:r>
      <w:r>
        <w:rPr>
          <w:rFonts w:hint="default" w:hAnsi="Times New Roman" w:eastAsia="仿宋_GB2312"/>
          <w:color w:val="000000"/>
          <w:kern w:val="0"/>
          <w:sz w:val="32"/>
          <w:szCs w:val="32"/>
          <w:lang w:val="en" w:eastAsia="zh-CN"/>
        </w:rPr>
        <w:t>--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" w:eastAsia="zh-CN"/>
        </w:rPr>
        <w:t>人工智能与行业应用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黑体"/>
          <w:color w:val="000000"/>
          <w:kern w:val="0"/>
          <w:sz w:val="32"/>
          <w:szCs w:val="32"/>
        </w:rPr>
      </w:pPr>
      <w:r>
        <w:rPr>
          <w:rFonts w:hint="eastAsia" w:hAnsi="Times New Roman" w:eastAsia="黑体"/>
          <w:color w:val="000000"/>
          <w:kern w:val="0"/>
          <w:sz w:val="32"/>
          <w:szCs w:val="32"/>
        </w:rPr>
        <w:t>二、</w:t>
      </w:r>
      <w:r>
        <w:rPr>
          <w:rFonts w:hAnsi="Times New Roman" w:eastAsia="黑体"/>
          <w:color w:val="000000"/>
          <w:kern w:val="0"/>
          <w:sz w:val="32"/>
          <w:szCs w:val="32"/>
        </w:rPr>
        <w:t>选修课（</w:t>
      </w:r>
      <w:r>
        <w:rPr>
          <w:rFonts w:hint="eastAsia" w:hAnsi="Times New Roman" w:eastAsia="黑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eastAsia="黑体"/>
          <w:color w:val="000000"/>
          <w:kern w:val="0"/>
          <w:sz w:val="32"/>
          <w:szCs w:val="32"/>
          <w:lang w:val="en" w:eastAsia="zh-CN"/>
        </w:rPr>
        <w:t>6</w:t>
      </w:r>
      <w:r>
        <w:rPr>
          <w:rFonts w:hint="eastAsia" w:hAnsi="Times New Roman" w:eastAsia="黑体"/>
          <w:color w:val="000000"/>
          <w:kern w:val="0"/>
          <w:sz w:val="32"/>
          <w:szCs w:val="32"/>
        </w:rPr>
        <w:t>门</w:t>
      </w:r>
      <w:r>
        <w:rPr>
          <w:rFonts w:hAnsi="Times New Roman" w:eastAsia="黑体"/>
          <w:color w:val="000000"/>
          <w:kern w:val="0"/>
          <w:sz w:val="32"/>
          <w:szCs w:val="32"/>
        </w:rPr>
        <w:t>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（一）京津冀协同发展走深走实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京津冀协同创新共同体建设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2. 京津冀协同发展的经济路径与实践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3. 面向京津冀协同发展的智慧城市规划与建设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京津冀协同发展下的能源战略规划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（二）制造业高质量发展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1.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 质量强国建设</w:t>
      </w:r>
    </w:p>
    <w:p>
      <w:pPr>
        <w:widowControl/>
        <w:wordWrap w:val="0"/>
        <w:spacing w:line="600" w:lineRule="exact"/>
        <w:ind w:firstLine="640" w:firstLineChars="20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2.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 智能制造与企业数字化转型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 xml:space="preserve">3.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  <w:lang w:eastAsia="zh-CN"/>
        </w:rPr>
        <w:t>知识产权保护与运用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工业互联网关键技术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及应用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600" w:lineRule="exact"/>
        <w:ind w:firstLine="640"/>
        <w:jc w:val="left"/>
        <w:rPr>
          <w:rFonts w:hint="default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5. 新质生产力建设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（三）科教兴市人才强市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建设教育强国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2. 专业技术人员科研能力提升 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科技成果转化与应用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数字经济技术技能人才培育</w:t>
      </w:r>
    </w:p>
    <w:p>
      <w:pPr>
        <w:widowControl/>
        <w:wordWrap w:val="0"/>
        <w:spacing w:line="600" w:lineRule="exact"/>
        <w:ind w:firstLine="640"/>
        <w:jc w:val="left"/>
        <w:rPr>
          <w:rFonts w:hint="default" w:hAnsi="Times New Roman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>5. 建设人才强国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（四）港产城融合发展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构建港产城融合新格局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2. 综合交通运输体系建设</w:t>
      </w:r>
    </w:p>
    <w:p>
      <w:pPr>
        <w:widowControl/>
        <w:wordWrap w:val="0"/>
        <w:spacing w:line="600" w:lineRule="exact"/>
        <w:ind w:firstLine="640"/>
        <w:jc w:val="left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物流管理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4.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港口与航运产业数字化、绿色化技术应用</w:t>
      </w:r>
    </w:p>
    <w:p>
      <w:pPr>
        <w:widowControl/>
        <w:numPr>
          <w:ilvl w:val="0"/>
          <w:numId w:val="1"/>
        </w:numPr>
        <w:wordWrap w:val="0"/>
        <w:spacing w:line="600" w:lineRule="exact"/>
        <w:ind w:firstLine="640"/>
        <w:jc w:val="left"/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消防安全与应急管理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（五）滨海新区高质量发展支撑引领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  <w:highlight w:val="none"/>
        </w:rPr>
        <w:t xml:space="preserve">1.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highlight w:val="none"/>
        </w:rPr>
        <w:t>滨海新区高质量发展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深化“放管服”改革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优化营商环境</w:t>
      </w:r>
    </w:p>
    <w:p>
      <w:pPr>
        <w:spacing w:line="600" w:lineRule="exact"/>
        <w:ind w:firstLine="640" w:firstLineChars="200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网络信息安全与数字经济创新发展</w:t>
      </w:r>
    </w:p>
    <w:p>
      <w:pPr>
        <w:spacing w:line="600" w:lineRule="exact"/>
        <w:ind w:firstLine="640" w:firstLineChars="200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数字化转型与管理创新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（六）中心城区更新提升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1.</w:t>
      </w:r>
      <w:r>
        <w:rPr>
          <w:rFonts w:hAnsi="Times New Roman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数字政府建设与发展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智慧城市建设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城市轨道交通发展与运营安全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  <w:lang w:val="en" w:eastAsia="zh-CN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 xml:space="preserve">4.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推动商旅文深度融合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（七）乡村振兴全面推进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1. 城乡中国时代的乡村振兴和共同富裕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文旅发展助推乡村振兴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乡村振兴与生态农业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《习近平关于国家粮食安全论述摘编》解读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（八）绿色低碳发展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1. 双碳理念与气候变化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科技赋能碳中和与绿色高质量发展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数字技术与双碳双循环视野下新产业发展路径</w:t>
      </w:r>
    </w:p>
    <w:p>
      <w:pPr>
        <w:spacing w:line="600" w:lineRule="exact"/>
        <w:ind w:firstLine="641"/>
        <w:rPr>
          <w:rFonts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自然保护与生态安全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（九）高品质生活创造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数智化时代的旅游与康养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职业教育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eastAsia="zh-CN"/>
        </w:rPr>
        <w:t>、标准化等法律法规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解读</w:t>
      </w:r>
    </w:p>
    <w:p>
      <w:pPr>
        <w:spacing w:line="600" w:lineRule="exact"/>
        <w:ind w:firstLine="641"/>
        <w:rPr>
          <w:rFonts w:hint="eastAsia" w:ascii="Times New Roman" w:eastAsia="仿宋_GB2312"/>
          <w:sz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3.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食品安全</w:t>
      </w:r>
    </w:p>
    <w:p>
      <w:pPr>
        <w:spacing w:line="600" w:lineRule="exact"/>
        <w:ind w:firstLine="641"/>
        <w:rPr>
          <w:rFonts w:hint="eastAsia" w:ascii="Times New Roman" w:eastAsia="仿宋_GB2312"/>
          <w:sz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青少年近视防控</w:t>
      </w:r>
    </w:p>
    <w:p>
      <w:pPr>
        <w:spacing w:line="600" w:lineRule="exact"/>
        <w:ind w:firstLine="641"/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国学经典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6. 国产软件应用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  <w:lang w:val="en" w:eastAsia="zh-CN"/>
        </w:rPr>
      </w:pPr>
      <w:r>
        <w:rPr>
          <w:rFonts w:hint="default" w:hAnsi="Times New Roman" w:eastAsia="仿宋_GB2312"/>
          <w:color w:val="000000"/>
          <w:kern w:val="0"/>
          <w:sz w:val="32"/>
          <w:szCs w:val="32"/>
          <w:lang w:val="en"/>
        </w:rPr>
        <w:t xml:space="preserve">7. </w:t>
      </w:r>
      <w:r>
        <w:rPr>
          <w:rFonts w:hint="eastAsia" w:hAnsi="Times New Roman" w:eastAsia="仿宋_GB2312"/>
          <w:color w:val="000000"/>
          <w:kern w:val="0"/>
          <w:sz w:val="32"/>
          <w:szCs w:val="32"/>
          <w:lang w:val="en" w:eastAsia="zh-CN"/>
        </w:rPr>
        <w:t>就业、创业、社会保险等政策解读</w:t>
      </w:r>
    </w:p>
    <w:p>
      <w:pPr>
        <w:widowControl/>
        <w:wordWrap w:val="0"/>
        <w:spacing w:line="600" w:lineRule="exact"/>
        <w:ind w:firstLine="640"/>
        <w:jc w:val="left"/>
        <w:rPr>
          <w:rFonts w:hint="eastAsia" w:hAnsi="Times New Roman" w:eastAsia="楷体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（十）党建引领基层治理</w:t>
      </w:r>
      <w:r>
        <w:rPr>
          <w:rFonts w:hint="eastAsia" w:hAnsi="Times New Roman" w:eastAsia="楷体_GB2312"/>
          <w:color w:val="000000"/>
          <w:kern w:val="0"/>
          <w:sz w:val="32"/>
          <w:szCs w:val="32"/>
          <w:lang w:eastAsia="zh-CN"/>
        </w:rPr>
        <w:t>行动</w:t>
      </w:r>
      <w:r>
        <w:rPr>
          <w:rFonts w:hint="eastAsia" w:hAnsi="Times New Roman" w:eastAsia="楷体_GB2312"/>
          <w:color w:val="000000"/>
          <w:kern w:val="0"/>
          <w:sz w:val="32"/>
          <w:szCs w:val="32"/>
        </w:rPr>
        <w:t>（4门）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楷体_GB2312"/>
          <w:color w:val="000000"/>
          <w:kern w:val="0"/>
          <w:sz w:val="32"/>
          <w:szCs w:val="32"/>
        </w:rPr>
        <w:t xml:space="preserve">1. </w:t>
      </w: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习近平总书记关于新时代党的组织路线的论述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2. 做好新时代基层党建工作</w:t>
      </w:r>
    </w:p>
    <w:p>
      <w:pPr>
        <w:spacing w:line="600" w:lineRule="exact"/>
        <w:ind w:firstLine="641"/>
        <w:rPr>
          <w:rFonts w:hint="eastAsia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3. 新时代社会工作人才队伍建设</w:t>
      </w:r>
    </w:p>
    <w:p>
      <w:pPr>
        <w:spacing w:line="600" w:lineRule="exact"/>
        <w:ind w:firstLine="641"/>
        <w:rPr>
          <w:rFonts w:hint="eastAsia"/>
        </w:rPr>
      </w:pPr>
      <w:r>
        <w:rPr>
          <w:rFonts w:hint="eastAsia" w:hAnsi="Times New Roman" w:eastAsia="仿宋_GB2312"/>
          <w:color w:val="000000"/>
          <w:kern w:val="0"/>
          <w:sz w:val="32"/>
          <w:szCs w:val="32"/>
        </w:rPr>
        <w:t>4. 加强与创新社会管理 依法处理社会事务</w:t>
      </w:r>
    </w:p>
    <w:sectPr>
      <w:footerReference r:id="rId5" w:type="default"/>
      <w:pgSz w:w="11906" w:h="16838"/>
      <w:pgMar w:top="1440" w:right="1531" w:bottom="1440" w:left="1531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0A8FA"/>
    <w:multiLevelType w:val="singleLevel"/>
    <w:tmpl w:val="BC70A8F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9D8CF7F"/>
    <w:rsid w:val="3BF84117"/>
    <w:rsid w:val="3EF2CD76"/>
    <w:rsid w:val="3FFF22E8"/>
    <w:rsid w:val="53BBB401"/>
    <w:rsid w:val="5BCF1012"/>
    <w:rsid w:val="5F7F0999"/>
    <w:rsid w:val="5FBA4B9B"/>
    <w:rsid w:val="68DA2FED"/>
    <w:rsid w:val="6DFF94A7"/>
    <w:rsid w:val="6FBD35F2"/>
    <w:rsid w:val="7063975C"/>
    <w:rsid w:val="71773CF2"/>
    <w:rsid w:val="7AF44802"/>
    <w:rsid w:val="7BFF7016"/>
    <w:rsid w:val="7CFF4CD6"/>
    <w:rsid w:val="7FEFC8C7"/>
    <w:rsid w:val="B7B1C7D3"/>
    <w:rsid w:val="DFDF9A4E"/>
    <w:rsid w:val="EAFF48C7"/>
    <w:rsid w:val="EBF1E6EB"/>
    <w:rsid w:val="EFCD249A"/>
    <w:rsid w:val="EFF2C1DF"/>
    <w:rsid w:val="EFFFEED2"/>
    <w:rsid w:val="F556D695"/>
    <w:rsid w:val="F6FF0AFB"/>
    <w:rsid w:val="F77F0899"/>
    <w:rsid w:val="F9670AD1"/>
    <w:rsid w:val="FE5A2FB3"/>
    <w:rsid w:val="FFE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等线 Light" w:hAnsi="等线 Light" w:eastAsia="方正小标宋_GBK" w:cs="Times New Roman"/>
      <w:bCs/>
      <w:kern w:val="2"/>
      <w:sz w:val="44"/>
      <w:szCs w:val="32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2</TotalTime>
  <ScaleCrop>false</ScaleCrop>
  <LinksUpToDate>false</LinksUpToDate>
  <CharactersWithSpaces>229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2020-09-20T22:56:00Z</dcterms:created>
  <dc:creator>linhong</dc:creator>
  <cp:lastModifiedBy>kylin</cp:lastModifiedBy>
  <cp:lastPrinted>2024-01-17T01:20:00Z</cp:lastPrinted>
  <dcterms:modified xsi:type="dcterms:W3CDTF">2024-01-19T09:57:55Z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