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大王庄街道2024年工作要点</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2024年，是中华人民共和国成立75周年，是天津实施“十四五”规划、全面建设社会主义现代化大都市的关键一年，也是扎实推动高质量发展“十项行动”河东实践走深走实的攻坚之年，做好全年各项工作意义重大。大王庄街道将坚持以习近平新时代中国特色社会主义思想为指导，全面贯彻落实党的二十大、二十届二中全会和中央经济工作会议精神，认真学习宣传贯彻习近平总书记视察天津重要讲话精神以及对天津工作的一系列重要指示要求，坚定拥护“两个确立”，坚决做到“两个维护”，深刻领会把握“四个善作善成”“四个抓落实”重要要求，深入贯彻党中央决策部署，按照市、区委全会暨经济工作会议部署要求，围绕推动高质量发展“十项行动”见行见效，坚持以产业焕新、城市更新为突破口，以盘活存量、培育增量、提升质量为主要抓手，不断增强经济活力，增进民生福祉，防范化解风险，保持社会稳定，为河东扎实推进“四个之区”建设，奋力开创全面建设社会主义现代化品质活力区贡献力量。将纲举目张做好以下七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一、坚持学思践悟、知行合一，全力打造理论学习高地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（一）深入学习宣传贯彻习近平总书记视察天津重要讲话精神。</w:t>
      </w:r>
      <w:r>
        <w:rPr>
          <w:rFonts w:hint="eastAsia" w:ascii="仿宋_GB2312" w:hAnsi="仿宋_GB2312" w:eastAsia="仿宋_GB2312" w:cs="仿宋_GB2312"/>
          <w:b w:val="0"/>
          <w:bCs w:val="0"/>
          <w:color w:val="auto"/>
          <w:sz w:val="32"/>
          <w:szCs w:val="32"/>
          <w:highlight w:val="none"/>
          <w:u w:val="none"/>
          <w:lang w:val="en-US" w:eastAsia="zh-CN"/>
        </w:rPr>
        <w:t>在用心学上下功夫，把学习贯彻习近平总书记重要讲话精神与深入学习贯彻习近平新时代中国特色社会主义思想和党的二十大精神、与贯彻落实习近平总书记对天津工作的一系列重要指示要求结合起来、一以贯之，原原本本学、带着责任学，真正做到心领神会、融会贯通。在用情讲上下功夫，广泛深入开展面向基层、面向群众的对象化、分众化、互动化宣讲，开展形式多样、生动鲜活的主题宣传，加强理论研究和阐释，把习近平总书记的关心关怀传递到千家万户，推动习近平总书记重要讲话精神入脑入心、深入人心。在用力做上下功夫，坚持项目化清单化抓落实、强化担当抓落实、压实责任抓落实，发扬钉钉子精神，真抓实干，埋头苦干，把学习宣传、贯彻落实的成效体现在推动经济社会发展的各项工作成果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（二）持续巩固拓展主题教育成果。</w:t>
      </w:r>
      <w:r>
        <w:rPr>
          <w:rFonts w:hint="eastAsia" w:ascii="仿宋_GB2312" w:hAnsi="仿宋_GB2312" w:eastAsia="仿宋_GB2312" w:cs="仿宋_GB2312"/>
          <w:b w:val="0"/>
          <w:bCs w:val="0"/>
          <w:color w:val="auto"/>
          <w:sz w:val="32"/>
          <w:szCs w:val="32"/>
          <w:highlight w:val="none"/>
          <w:u w:val="none"/>
          <w:lang w:val="en-US" w:eastAsia="zh-CN"/>
        </w:rPr>
        <w:t>健全以学铸魂、以学增智、以学正风、以学促干长效机制，引导党员、干部持续深入学习党的创新理论，切实做好深化、内化、转化工作。加强领导班子和干部队伍建设，树立和践行正确政绩观，弘扬真抓实干的工作作风，用好“四下基层”经验做法，持之以恒推动发展，促进重点任务、民生项目和整改整治问题解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（三）确保党中央决策和市、区委部署要求落地见效。</w:t>
      </w:r>
      <w:r>
        <w:rPr>
          <w:rFonts w:hint="eastAsia" w:ascii="仿宋_GB2312" w:hAnsi="仿宋_GB2312" w:eastAsia="仿宋_GB2312" w:cs="仿宋_GB2312"/>
          <w:b w:val="0"/>
          <w:bCs w:val="0"/>
          <w:color w:val="auto"/>
          <w:sz w:val="32"/>
          <w:szCs w:val="32"/>
          <w:highlight w:val="none"/>
          <w:u w:val="none"/>
          <w:lang w:val="en-US" w:eastAsia="zh-CN"/>
        </w:rPr>
        <w:t>在全面学习、全面把握、全面落实党的二十大精神上继续持续用力，进一步做好学习培训、宣传宣讲、贯彻落实各项工作，推动学习宣传贯彻往深里走、往实里走。持续深入落实推动高质量发展“十项行动”，聚焦市委“八个统筹”，区委做好“四篇文章”和“八个持续”，开展政治监督、全程监督，加强工作提醒和工作调度，推动各项工作形成完整闭环，确保见行见效，以实际行动推动学习贯彻党的二十大精神成果转化为高质量发展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二、坚持产业为基、提质增效，全力打造产业发展高地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（一）全力推进产业焕新。</w:t>
      </w:r>
      <w:r>
        <w:rPr>
          <w:rFonts w:hint="eastAsia" w:ascii="仿宋_GB2312" w:hAnsi="仿宋_GB2312" w:eastAsia="仿宋_GB2312" w:cs="仿宋_GB2312"/>
          <w:b w:val="0"/>
          <w:bCs w:val="0"/>
          <w:color w:val="auto"/>
          <w:sz w:val="32"/>
          <w:szCs w:val="32"/>
          <w:highlight w:val="none"/>
          <w:u w:val="none"/>
          <w:lang w:val="en-US" w:eastAsia="zh-CN"/>
        </w:rPr>
        <w:t>1.推动“港产城融合发展片区”提速扩面，</w:t>
      </w:r>
      <w:r>
        <w:rPr>
          <w:rFonts w:hint="eastAsia" w:ascii="仿宋_GB2312" w:hAnsi="仿宋_GB2312" w:eastAsia="仿宋_GB2312" w:cs="仿宋_GB2312"/>
          <w:b w:val="0"/>
          <w:bCs w:val="0"/>
          <w:smallCaps w:val="0"/>
          <w:spacing w:val="0"/>
          <w:sz w:val="32"/>
          <w:szCs w:val="32"/>
          <w:u w:val="none"/>
          <w:lang w:eastAsia="zh-CN"/>
        </w:rPr>
        <w:t>以服务地中海货运、克运捷运等一批现代航运物流龙头企业为抓手，加大国家海洋信息中心、天星河畔广场服务力度，持续为中海、嘉里二期等大型高端写字楼搭建合作桥梁，利用技术、资源和产业优势，培育和引进一批海洋</w:t>
      </w:r>
      <w:r>
        <w:rPr>
          <w:rFonts w:hint="eastAsia" w:ascii="仿宋_GB2312" w:hAnsi="仿宋_GB2312" w:eastAsia="仿宋_GB2312" w:cs="仿宋_GB2312"/>
          <w:b w:val="0"/>
          <w:bCs w:val="0"/>
          <w:smallCaps w:val="0"/>
          <w:spacing w:val="0"/>
          <w:sz w:val="32"/>
          <w:szCs w:val="32"/>
          <w:u w:val="none"/>
          <w:lang w:val="en-US" w:eastAsia="zh-CN"/>
        </w:rPr>
        <w:t>经济和</w:t>
      </w:r>
      <w:r>
        <w:rPr>
          <w:rFonts w:hint="eastAsia" w:ascii="仿宋_GB2312" w:hAnsi="仿宋_GB2312" w:eastAsia="仿宋_GB2312" w:cs="仿宋_GB2312"/>
          <w:b w:val="0"/>
          <w:bCs w:val="0"/>
          <w:smallCaps w:val="0"/>
          <w:spacing w:val="0"/>
          <w:sz w:val="32"/>
          <w:szCs w:val="32"/>
          <w:u w:val="none"/>
          <w:lang w:eastAsia="zh-CN"/>
        </w:rPr>
        <w:t>航运产业上下游企业、港航信息服务企业，持续促进航运资源有效配置、组团发力，吸引市场主体和功能性机构不断集聚落户。</w:t>
      </w:r>
      <w:r>
        <w:rPr>
          <w:rFonts w:hint="eastAsia" w:ascii="仿宋_GB2312" w:hAnsi="仿宋_GB2312" w:eastAsia="仿宋_GB2312" w:cs="仿宋_GB2312"/>
          <w:b w:val="0"/>
          <w:bCs w:val="0"/>
          <w:color w:val="auto"/>
          <w:sz w:val="32"/>
          <w:szCs w:val="32"/>
          <w:highlight w:val="none"/>
          <w:u w:val="none"/>
          <w:lang w:val="en-US" w:eastAsia="zh-CN"/>
        </w:rPr>
        <w:t>2.推动金融高质量发展，服务渤海银行金融科技业务拓展，促成金融类机构落户。3.持续做大生物医药产业，依托鑫创医疗器械产业园平台载体，着力培育智慧医疗、医疗器械、康养保健等产业链，努力打造高科技创新型医疗器械产业集群。4.大力发展平台经济、直播电商等新业态，加快推进二次方城市产业园二期项目，努力形成二手商品流通产业聚集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（二）加快推进城市更新。</w:t>
      </w:r>
      <w:r>
        <w:rPr>
          <w:rFonts w:hint="eastAsia" w:ascii="仿宋_GB2312" w:hAnsi="仿宋_GB2312" w:eastAsia="仿宋_GB2312" w:cs="仿宋_GB2312"/>
          <w:b w:val="0"/>
          <w:bCs w:val="0"/>
          <w:color w:val="auto"/>
          <w:sz w:val="32"/>
          <w:szCs w:val="32"/>
          <w:highlight w:val="none"/>
          <w:u w:val="none"/>
          <w:lang w:val="en-US" w:eastAsia="zh-CN"/>
        </w:rPr>
        <w:t>1.不断拓展载体空间，前置推动管乐器厂加快启动城市“微更新”项目和一冷天音片区城市更新策划，在前期资产评估和后期工程建设、物业服务等方面探寻合作空间，为一冷天音片区高标准启动夯实基础。2.协调推动合兴里“零号站”一期项目尽快建设运营。3.</w:t>
      </w:r>
      <w:r>
        <w:rPr>
          <w:rFonts w:hint="eastAsia" w:ascii="仿宋_GB2312" w:hAnsi="仿宋_GB2312" w:eastAsia="仿宋_GB2312" w:cs="仿宋_GB2312"/>
          <w:color w:val="auto"/>
          <w:sz w:val="32"/>
          <w:szCs w:val="32"/>
          <w:lang w:eastAsia="zh-CN"/>
        </w:rPr>
        <w:t>与中粮闲置地块托管方开展对接洽谈，协调地块临时使用问题，改善地块现有面貌，增加公共车位。</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val="0"/>
          <w:bCs w:val="0"/>
          <w:color w:val="auto"/>
          <w:sz w:val="32"/>
          <w:szCs w:val="32"/>
          <w:highlight w:val="none"/>
          <w:u w:val="none"/>
          <w:lang w:val="en-US" w:eastAsia="zh-CN"/>
        </w:rPr>
        <w:t>服务中海城市广场三期、嘉里中心二期等全区重点项目有序施工建设。5.用好专项债政策工具，加大项目谋划申报力度。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三、坚持发展为要、量质齐升，全力打造经济增长高地</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mallCaps w:val="0"/>
          <w:spacing w:val="0"/>
          <w:sz w:val="32"/>
          <w:szCs w:val="32"/>
          <w:u w:val="none"/>
          <w:lang w:eastAsia="zh-CN"/>
        </w:rPr>
      </w:pPr>
      <w:r>
        <w:rPr>
          <w:rFonts w:hint="eastAsia" w:ascii="楷体_GB2312" w:hAnsi="楷体_GB2312" w:eastAsia="楷体_GB2312" w:cs="楷体_GB2312"/>
          <w:b/>
          <w:bCs/>
          <w:color w:val="auto"/>
          <w:kern w:val="2"/>
          <w:sz w:val="32"/>
          <w:szCs w:val="32"/>
          <w:highlight w:val="none"/>
          <w:u w:val="none"/>
          <w:lang w:val="en-US" w:eastAsia="zh-CN" w:bidi="ar-SA"/>
        </w:rPr>
        <w:t>（一）全面盘活存量资源。</w:t>
      </w:r>
      <w:r>
        <w:rPr>
          <w:rFonts w:hint="eastAsia" w:ascii="仿宋_GB2312" w:hAnsi="仿宋_GB2312" w:eastAsia="仿宋_GB2312" w:cs="仿宋_GB2312"/>
          <w:b w:val="0"/>
          <w:bCs w:val="0"/>
          <w:color w:val="auto"/>
          <w:sz w:val="32"/>
          <w:szCs w:val="32"/>
          <w:highlight w:val="none"/>
          <w:u w:val="none"/>
          <w:lang w:val="en-US" w:eastAsia="zh-CN"/>
        </w:rPr>
        <w:t>1.进</w:t>
      </w:r>
      <w:r>
        <w:rPr>
          <w:rFonts w:hint="eastAsia" w:ascii="仿宋_GB2312" w:hAnsi="仿宋_GB2312" w:eastAsia="仿宋_GB2312" w:cs="仿宋_GB2312"/>
          <w:color w:val="auto"/>
          <w:sz w:val="32"/>
          <w:szCs w:val="32"/>
          <w:lang w:val="en-US" w:eastAsia="zh-CN"/>
        </w:rPr>
        <w:t>一步</w:t>
      </w:r>
      <w:r>
        <w:rPr>
          <w:rFonts w:hint="eastAsia" w:ascii="仿宋_GB2312" w:hAnsi="仿宋_GB2312" w:eastAsia="仿宋_GB2312" w:cs="仿宋_GB2312"/>
          <w:color w:val="auto"/>
          <w:sz w:val="32"/>
          <w:szCs w:val="32"/>
          <w:lang w:eastAsia="zh-CN"/>
        </w:rPr>
        <w:t>梳理</w:t>
      </w:r>
      <w:r>
        <w:rPr>
          <w:rFonts w:hint="eastAsia" w:ascii="仿宋_GB2312" w:hAnsi="仿宋_GB2312" w:eastAsia="仿宋_GB2312" w:cs="仿宋_GB2312"/>
          <w:color w:val="auto"/>
          <w:sz w:val="32"/>
          <w:szCs w:val="32"/>
        </w:rPr>
        <w:t>街域内</w:t>
      </w:r>
      <w:r>
        <w:rPr>
          <w:rFonts w:hint="eastAsia" w:ascii="仿宋_GB2312" w:hAnsi="仿宋_GB2312" w:eastAsia="仿宋_GB2312" w:cs="仿宋_GB2312"/>
          <w:b w:val="0"/>
          <w:bCs w:val="0"/>
          <w:color w:val="auto"/>
          <w:sz w:val="32"/>
          <w:szCs w:val="32"/>
          <w:highlight w:val="none"/>
          <w:u w:val="none"/>
          <w:lang w:val="en-US" w:eastAsia="zh-CN"/>
        </w:rPr>
        <w:t>桥下空间、零散地块、老旧厂房、商务楼宇、轨道站点、亲水空间，绘制一套完整准确、产权清晰的“大王庄街道生产力地图”，实施台账式管理、项目化清单化推进。2.紧盯资源资产，</w:t>
      </w:r>
      <w:r>
        <w:rPr>
          <w:rFonts w:hint="eastAsia" w:ascii="仿宋_GB2312" w:hAnsi="仿宋_GB2312" w:eastAsia="仿宋_GB2312" w:cs="仿宋_GB2312"/>
          <w:color w:val="auto"/>
          <w:sz w:val="32"/>
          <w:szCs w:val="32"/>
          <w:lang w:val="en-US" w:eastAsia="zh-CN"/>
        </w:rPr>
        <w:t>与区有关部门对接，</w:t>
      </w:r>
      <w:r>
        <w:rPr>
          <w:rFonts w:hint="eastAsia" w:ascii="仿宋_GB2312" w:hAnsi="仿宋_GB2312" w:eastAsia="仿宋_GB2312" w:cs="仿宋_GB2312"/>
          <w:b w:val="0"/>
          <w:bCs w:val="0"/>
          <w:smallCaps w:val="0"/>
          <w:spacing w:val="0"/>
          <w:sz w:val="32"/>
          <w:szCs w:val="32"/>
          <w:u w:val="none"/>
          <w:lang w:eastAsia="zh-CN"/>
        </w:rPr>
        <w:t>深化与市城运集团协作，开展针对性项目谋划和推动落地，今年全年，力争谋划盘活</w:t>
      </w:r>
      <w:r>
        <w:rPr>
          <w:rFonts w:hint="eastAsia" w:ascii="仿宋_GB2312" w:hAnsi="仿宋_GB2312" w:eastAsia="仿宋_GB2312" w:cs="仿宋_GB2312"/>
          <w:b w:val="0"/>
          <w:bCs w:val="0"/>
          <w:smallCaps w:val="0"/>
          <w:spacing w:val="0"/>
          <w:sz w:val="32"/>
          <w:szCs w:val="32"/>
          <w:u w:val="none"/>
          <w:lang w:val="en-US" w:eastAsia="zh-CN"/>
        </w:rPr>
        <w:t>1-2个</w:t>
      </w:r>
      <w:r>
        <w:rPr>
          <w:rFonts w:hint="eastAsia" w:ascii="仿宋_GB2312" w:hAnsi="仿宋_GB2312" w:eastAsia="仿宋_GB2312" w:cs="仿宋_GB2312"/>
          <w:b w:val="0"/>
          <w:bCs w:val="0"/>
          <w:smallCaps w:val="0"/>
          <w:spacing w:val="0"/>
          <w:sz w:val="32"/>
          <w:szCs w:val="32"/>
          <w:u w:val="none"/>
          <w:lang w:eastAsia="zh-CN"/>
        </w:rPr>
        <w:t>存量零散地块</w:t>
      </w:r>
      <w:r>
        <w:rPr>
          <w:rFonts w:hint="eastAsia" w:ascii="仿宋_GB2312" w:hAnsi="仿宋_GB2312" w:eastAsia="仿宋_GB2312" w:cs="仿宋_GB2312"/>
          <w:b w:val="0"/>
          <w:bCs w:val="0"/>
          <w:smallCaps w:val="0"/>
          <w:spacing w:val="0"/>
          <w:sz w:val="32"/>
          <w:szCs w:val="32"/>
          <w:u w:val="none"/>
          <w:lang w:val="en-US" w:eastAsia="zh-CN"/>
        </w:rPr>
        <w:t>。3.用好低效老旧厂房、商务楼宇、商文旅资源，</w:t>
      </w:r>
      <w:r>
        <w:rPr>
          <w:rFonts w:hint="eastAsia" w:ascii="仿宋_GB2312" w:hAnsi="仿宋_GB2312" w:eastAsia="仿宋_GB2312" w:cs="仿宋_GB2312"/>
          <w:color w:val="auto"/>
          <w:sz w:val="32"/>
          <w:szCs w:val="32"/>
          <w:lang w:eastAsia="zh-CN"/>
        </w:rPr>
        <w:t>搭建“一</w:t>
      </w:r>
      <w:r>
        <w:rPr>
          <w:rFonts w:hint="eastAsia" w:ascii="仿宋_GB2312" w:hAnsi="仿宋_GB2312" w:eastAsia="仿宋_GB2312" w:cs="仿宋_GB2312"/>
          <w:color w:val="auto"/>
          <w:sz w:val="32"/>
          <w:szCs w:val="32"/>
          <w:lang w:val="en-US" w:eastAsia="zh-CN"/>
        </w:rPr>
        <w:t>场所</w:t>
      </w:r>
      <w:r>
        <w:rPr>
          <w:rFonts w:hint="eastAsia" w:ascii="仿宋_GB2312" w:hAnsi="仿宋_GB2312" w:eastAsia="仿宋_GB2312" w:cs="仿宋_GB2312"/>
          <w:color w:val="auto"/>
          <w:sz w:val="32"/>
          <w:szCs w:val="32"/>
          <w:lang w:eastAsia="zh-CN"/>
        </w:rPr>
        <w:t>一专班”，研究低端产业置换，全年力争</w:t>
      </w:r>
      <w:r>
        <w:rPr>
          <w:rFonts w:hint="eastAsia" w:ascii="仿宋_GB2312" w:hAnsi="仿宋_GB2312" w:eastAsia="仿宋_GB2312" w:cs="仿宋_GB2312"/>
          <w:color w:val="auto"/>
          <w:sz w:val="32"/>
          <w:szCs w:val="32"/>
          <w:lang w:val="en-US" w:eastAsia="zh-CN"/>
        </w:rPr>
        <w:t>打造1个有主题、有特色的“微”产业园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shd w:val="clear" w:color="auto" w:fill="auto"/>
          <w:lang w:val="en-US" w:eastAsia="zh-CN"/>
        </w:rPr>
        <w:t>4.与区文旅局</w:t>
      </w:r>
      <w:r>
        <w:rPr>
          <w:rFonts w:hint="eastAsia" w:ascii="仿宋_GB2312" w:hAnsi="仿宋_GB2312" w:eastAsia="仿宋_GB2312" w:cs="仿宋_GB2312"/>
          <w:b w:val="0"/>
          <w:bCs w:val="0"/>
          <w:color w:val="auto"/>
          <w:sz w:val="32"/>
          <w:szCs w:val="32"/>
          <w:highlight w:val="none"/>
          <w:u w:val="none"/>
          <w:lang w:val="en-US" w:eastAsia="zh-CN"/>
        </w:rPr>
        <w:t>进一步</w:t>
      </w:r>
      <w:r>
        <w:rPr>
          <w:rFonts w:hint="eastAsia" w:ascii="仿宋_GB2312" w:hAnsi="仿宋_GB2312" w:eastAsia="仿宋_GB2312" w:cs="仿宋_GB2312"/>
          <w:b w:val="0"/>
          <w:bCs w:val="0"/>
          <w:color w:val="auto"/>
          <w:sz w:val="32"/>
          <w:szCs w:val="32"/>
          <w:highlight w:val="none"/>
          <w:shd w:val="clear" w:color="auto" w:fill="auto"/>
          <w:lang w:val="en-US" w:eastAsia="zh-CN"/>
        </w:rPr>
        <w:t>对接，探索街域内俄罗斯旧址和</w:t>
      </w:r>
      <w:r>
        <w:rPr>
          <w:rFonts w:hint="eastAsia" w:ascii="仿宋_GB2312" w:hAnsi="仿宋_GB2312" w:eastAsia="仿宋_GB2312" w:cs="仿宋_GB2312"/>
          <w:b w:val="0"/>
          <w:bCs w:val="0"/>
          <w:color w:val="auto"/>
          <w:sz w:val="32"/>
          <w:szCs w:val="32"/>
          <w:highlight w:val="none"/>
          <w:u w:val="none"/>
          <w:lang w:val="en-US" w:eastAsia="zh-CN"/>
        </w:rPr>
        <w:t>俄欧风情街街域餐饮、建筑特色，深入挖掘历史事件、讲好历史故事、探索城市记忆，盘活闲置文化资源，赋能文旅消费。5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smallCaps w:val="0"/>
          <w:color w:val="auto"/>
          <w:spacing w:val="0"/>
          <w:sz w:val="32"/>
          <w:szCs w:val="32"/>
          <w:u w:val="none"/>
          <w:lang w:val="en-US" w:eastAsia="zh-CN"/>
        </w:rPr>
        <w:t>按照“一楼一品、一楼一策”的思路，持续做好楼宇企业服务和引导，鼓励管理方根据企业需求找准发展定位，做好硬件更新，优化运营服务，探索招商新路径，全年盘活闲置楼宇5000平米以上。6.协调各方资源对接三联大厦做好通讯业发展布局，加快构建“上下楼上下游”的产业生态。7.</w:t>
      </w:r>
      <w:r>
        <w:rPr>
          <w:rFonts w:hint="eastAsia" w:ascii="仿宋_GB2312" w:hAnsi="仿宋_GB2312" w:eastAsia="仿宋_GB2312" w:cs="仿宋_GB2312"/>
          <w:b w:val="0"/>
          <w:bCs w:val="0"/>
          <w:smallCaps w:val="0"/>
          <w:color w:val="auto"/>
          <w:spacing w:val="0"/>
          <w:sz w:val="32"/>
          <w:szCs w:val="32"/>
          <w:u w:val="none"/>
          <w:shd w:val="clear" w:color="auto" w:fill="auto"/>
          <w:lang w:val="en-US" w:eastAsia="zh-CN"/>
        </w:rPr>
        <w:t>聚焦金茂“双塔”、中海环宇中心等高端楼宇招商情况，精准实施跟踪和搭桥服务，吸引一批总部经济、现代航运企业进驻，打造特色产业楼宇。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（二）深入挖掘消费市场。</w:t>
      </w:r>
      <w:r>
        <w:rPr>
          <w:rFonts w:hint="eastAsia" w:ascii="仿宋_GB2312" w:hAnsi="仿宋_GB2312" w:eastAsia="仿宋_GB2312" w:cs="仿宋_GB2312"/>
          <w:b w:val="0"/>
          <w:bCs w:val="0"/>
          <w:color w:val="auto"/>
          <w:sz w:val="32"/>
          <w:szCs w:val="32"/>
          <w:highlight w:val="none"/>
          <w:u w:val="none"/>
          <w:lang w:val="en-US" w:eastAsia="zh-CN"/>
        </w:rPr>
        <w:t>1.积极融入国际消费中心城市建设，推动嘉里汇、中海、金茂汇发挥亲水优势，在广场和海河沿线推出</w:t>
      </w:r>
      <w:r>
        <w:rPr>
          <w:rFonts w:hint="eastAsia" w:ascii="仿宋_GB2312" w:hAnsi="仿宋_GB2312" w:eastAsia="仿宋_GB2312" w:cs="仿宋_GB2312"/>
          <w:b w:val="0"/>
          <w:bCs w:val="0"/>
          <w:color w:val="auto"/>
          <w:sz w:val="32"/>
          <w:szCs w:val="32"/>
          <w:highlight w:val="none"/>
          <w:shd w:val="clear" w:color="auto" w:fill="auto"/>
          <w:lang w:val="en-US" w:eastAsia="zh-CN"/>
        </w:rPr>
        <w:t>假日、时令等消费场景，聚人气、增活力。2</w:t>
      </w:r>
      <w:r>
        <w:rPr>
          <w:rFonts w:hint="eastAsia" w:ascii="仿宋_GB2312" w:hAnsi="仿宋_GB2312" w:eastAsia="仿宋_GB2312" w:cs="仿宋_GB2312"/>
          <w:b w:val="0"/>
          <w:bCs w:val="0"/>
          <w:color w:val="auto"/>
          <w:sz w:val="32"/>
          <w:szCs w:val="32"/>
          <w:highlight w:val="none"/>
          <w:u w:val="none"/>
          <w:lang w:val="en-US" w:eastAsia="zh-CN"/>
        </w:rPr>
        <w:t>.抓住“文旅热”契机，加快</w:t>
      </w:r>
      <w:r>
        <w:rPr>
          <w:rFonts w:hint="eastAsia" w:ascii="仿宋_GB2312" w:hAnsi="仿宋_GB2312" w:eastAsia="仿宋_GB2312" w:cs="仿宋_GB2312"/>
          <w:b w:val="0"/>
          <w:bCs w:val="0"/>
          <w:color w:val="auto"/>
          <w:sz w:val="32"/>
          <w:szCs w:val="32"/>
          <w:highlight w:val="none"/>
          <w:shd w:val="clear" w:color="auto" w:fill="auto"/>
          <w:lang w:val="en-US" w:eastAsia="zh-CN"/>
        </w:rPr>
        <w:t>协调推进金茂码头建设运营，</w:t>
      </w:r>
      <w:r>
        <w:rPr>
          <w:rFonts w:hint="eastAsia" w:ascii="仿宋_GB2312" w:hAnsi="仿宋_GB2312" w:eastAsia="仿宋_GB2312" w:cs="仿宋_GB2312"/>
          <w:b w:val="0"/>
          <w:bCs w:val="0"/>
          <w:color w:val="auto"/>
          <w:sz w:val="32"/>
          <w:szCs w:val="32"/>
          <w:highlight w:val="none"/>
          <w:u w:val="none"/>
          <w:lang w:val="en-US" w:eastAsia="zh-CN"/>
        </w:rPr>
        <w:t>前置做好精品旅游路线设计，以“陆路＋水路”的形式串联起海河东岸“吃、住、行、购、玩”等消费载体，形成游船观光、水上运动和消费载体串珠成链，打造河岸经济（亲水平台经济）、赛事经济新高地。3.打造“天音”特色演艺创作培训街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（三）加大招商引资力度。</w:t>
      </w:r>
      <w:r>
        <w:rPr>
          <w:rFonts w:hint="eastAsia" w:ascii="仿宋_GB2312" w:hAnsi="仿宋_GB2312" w:eastAsia="仿宋_GB2312" w:cs="仿宋_GB2312"/>
          <w:b w:val="0"/>
          <w:bCs w:val="0"/>
          <w:color w:val="auto"/>
          <w:sz w:val="32"/>
          <w:szCs w:val="32"/>
          <w:highlight w:val="none"/>
          <w:u w:val="none"/>
          <w:lang w:val="en-US" w:eastAsia="zh-CN"/>
        </w:rPr>
        <w:t>1.深入分析街域内重点企业发展布局和产业形势，健全招商引资对接、研判、调度机制，深化产业链招商、以商招商，全年组织招商活动3场以上，按照区委、区政府口径超额完成招商引资任务指标。2.加强招商队伍建设，组建以街道和社区为依托的全员招商队伍，以各类经营主体、“两代表一委员”和中介机构为依托的社会化招商队伍，梳理好招商政策体系，完善考核奖惩机制，加强与区直部门沟通对接，开展联合推介、联合招商，不断提高招商能力，增强招商实效。3.充分挖掘街域资源，坚持跑起来、动起来，发挥大院大所、龙头企业带动作用，用好街域内各类资源，落地更多优势主导企业。4.加强与商会、行业协会沟通交流，建立资源共享机制，持续挖掘招商线索。5.加强与中海、嘉里、金茂等招商团队对接，不断扩大招商引资“朋友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四、坚持优化服务、改善生态，全力打造城市功能高地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（一）持续优化营商环境。</w:t>
      </w:r>
      <w:r>
        <w:rPr>
          <w:rFonts w:hint="eastAsia" w:ascii="仿宋_GB2312" w:hAnsi="仿宋_GB2312" w:eastAsia="仿宋_GB2312" w:cs="仿宋_GB2312"/>
          <w:b w:val="0"/>
          <w:bCs w:val="0"/>
          <w:color w:val="auto"/>
          <w:sz w:val="32"/>
          <w:szCs w:val="32"/>
          <w:highlight w:val="none"/>
          <w:u w:val="none"/>
          <w:lang w:val="en-US" w:eastAsia="zh-CN"/>
        </w:rPr>
        <w:t>1.聚焦服务重点，组建渤海银行金融服务专班、嘉里中心二期和中海城市广场三期地产项目建设专班，全周期开展问需问效，全力保障大项目、好项目运营建设。2.创新服务企业形式，建立“企业服务日”常态化机制，与河东税务局、驻街各大银行、区有关部门等持续为企业提供“税企对接”“银企对接”“政企对接”“企企对接”专项服务，为企业解惑、融资、减负，搭建合作交流平台。3.进一步推动“信易服务岗”，力争扩大至7个楼宇、园区，加强联系沟通做好企业服务。4.加大服务企业和走访企业力度，挖掘招商线索，推动企业实际落地。5.做好“税源建设企业”“达限企业”“楼宇企业”“四上统计单位”“保苗企业”等企业服务。6.深化“大服务”格局，扩大“双万双服”覆盖面，建立重点园区服务专员工作机制，打造一流营商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（二）推动宜居城区建设。</w:t>
      </w:r>
      <w:r>
        <w:rPr>
          <w:rFonts w:hint="eastAsia" w:ascii="仿宋_GB2312" w:hAnsi="仿宋_GB2312" w:eastAsia="仿宋_GB2312" w:cs="仿宋_GB2312"/>
          <w:b w:val="0"/>
          <w:bCs w:val="0"/>
          <w:color w:val="auto"/>
          <w:sz w:val="32"/>
          <w:szCs w:val="32"/>
          <w:highlight w:val="none"/>
          <w:u w:val="none"/>
          <w:lang w:val="en-US" w:eastAsia="zh-CN"/>
        </w:rPr>
        <w:t>1.配合旧楼区指挥部做好2024年改造小区前期摸底调研和2022年、2023年年已改造完毕未出保小区保修工作。2.积极推进既有住宅加装电梯，加强走访调研，组织各社区对街域内123个老旧小区具备加装电梯的楼门进行统计，形成工作台账。3.扎实推进龙泓园6号楼1门、冠华公寓7号楼1门、七纬路77号院2号楼3门、11号楼1门四部电梯开展民意调查，确定可行性方案设计，加快补齐民生短板。4.在丰盛园小区再建设1个口袋公园。5.强化准物业末位淘汰机制。6.建立商品房小区物业退出预警机制，明确应急处置措施和后续工作流程。7.提高旧楼区长效管理水平，注重加强对六纬路1号、六纬路121号等旧楼区日常管理。8.继续推动红色物业、红色业委会创建。9.做好垃圾分类，打造绚丽园、龙泓园垃圾分类精品小区。10.开展市容环境综合整治，对环境卫生、违法建设、占路摆卖、环境秩序和道路两侧地锁进行专项治理，进一步提升市容环境整体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楷体_GB2312" w:hAnsi="楷体_GB2312" w:eastAsia="楷体_GB2312" w:cs="楷体_GB2312"/>
          <w:b/>
          <w:bCs/>
          <w:color w:val="auto"/>
          <w:kern w:val="2"/>
          <w:sz w:val="32"/>
          <w:szCs w:val="32"/>
          <w:highlight w:val="none"/>
          <w:u w:val="none"/>
          <w:lang w:val="en-US" w:eastAsia="zh-CN" w:bidi="ar-SA"/>
        </w:rPr>
      </w:pPr>
      <w:r>
        <w:rPr>
          <w:rFonts w:hint="eastAsia" w:ascii="楷体_GB2312" w:hAnsi="楷体_GB2312" w:eastAsia="楷体_GB2312" w:cs="楷体_GB2312"/>
          <w:b/>
          <w:bCs/>
          <w:color w:val="auto"/>
          <w:kern w:val="2"/>
          <w:sz w:val="32"/>
          <w:szCs w:val="32"/>
          <w:highlight w:val="none"/>
          <w:u w:val="none"/>
          <w:lang w:val="en-US" w:eastAsia="zh-CN" w:bidi="ar-SA"/>
        </w:rPr>
        <w:t>（三）加强生态环境治理。</w:t>
      </w:r>
      <w:r>
        <w:rPr>
          <w:rFonts w:hint="eastAsia" w:ascii="仿宋_GB2312" w:hAnsi="仿宋_GB2312" w:eastAsia="仿宋_GB2312" w:cs="仿宋_GB2312"/>
          <w:b w:val="0"/>
          <w:bCs w:val="0"/>
          <w:color w:val="auto"/>
          <w:sz w:val="32"/>
          <w:szCs w:val="32"/>
          <w:highlight w:val="none"/>
          <w:u w:val="none"/>
          <w:lang w:val="en-US" w:eastAsia="zh-CN"/>
        </w:rPr>
        <w:t>1.加快推动“零”耗综合服务站和屋顶分布式光伏建设。2.强化大气污染联防联控，聚焦餐饮油烟、露天烧烤、在建工地、背街里巷开展执法监督。3.组织修订重污染天气应急保障实施方案，落实好重污染天气职责和任务，加强网格化监管和专项巡查，严防露天焚烧行为，杜绝散煤复烧。4.严格落实河（湖）长制，坚持定期巡河、开展联合执法，推动水环境质量改善。5.对接做好海河沿岸景观带设施，做好重点区域夜景灯光维护。6.推深做实林长制，加强古树名木保护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五、坚持民生为本、共享发展，全力打造生活品质高地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（一）持续提升社会保障水平。</w:t>
      </w:r>
      <w:r>
        <w:rPr>
          <w:rFonts w:hint="eastAsia" w:ascii="仿宋_GB2312" w:hAnsi="仿宋_GB2312" w:eastAsia="仿宋_GB2312" w:cs="仿宋_GB2312"/>
          <w:b w:val="0"/>
          <w:bCs w:val="0"/>
          <w:color w:val="auto"/>
          <w:sz w:val="32"/>
          <w:szCs w:val="32"/>
          <w:highlight w:val="none"/>
          <w:u w:val="none"/>
          <w:lang w:val="en-US" w:eastAsia="zh-CN"/>
        </w:rPr>
        <w:t>1.突出就业优先导向，持续做好高校毕业生、退役军人等重点群体就业，积极与天津就业促进中心和街域内各大楼宇园区企业对接，梳理用工岗位和就业需求，组织开展专项招聘活动。2.广泛推广“公共就业服务”平台，创新开展网络线上招聘活动，为企业和求职者搭建劳动力供需平台。3.充分发挥社区医保便民服务站作用，通过系统培训将帮办代办的服务内容进一步延伸至社区。4.持续完善分层分类社会救助体系，统筹做好低保、低保边缘户、特困人员供养、临时救助等各项工作。5.强化困难群体和特殊人群兜底保障服务，对在册人员445户649人坚持探访、动态更新；对失独、低保户、低收入家庭、残疾人、独居老人进行定期走访。6.加强对日间照料服务中心和老人家食堂的监督和管理，持续优化社区养老服务。7.加强对“四失五类”人员联系走访，为高龄独居和特殊困难老人安装红外监测物联设备，并定期监测设备运行状态。8.做好残疾人辅助工具发放。9.依托街道、社区退役军人之家，讲好“老兵故事”，拓宽志愿服务领域，广泛开展特色活动。10.对退役军人及优抚对象广泛开展走访慰问、关爱帮扶，及时为立功人员家庭送喜报，为新增退役军人及优抚对象入户悬挂光荣牌。11.深化东西部协作、支援合作和消费帮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（二）不断提高核心价值感召力。</w:t>
      </w:r>
      <w:r>
        <w:rPr>
          <w:rFonts w:hint="eastAsia" w:ascii="仿宋_GB2312" w:hAnsi="仿宋_GB2312" w:eastAsia="仿宋_GB2312" w:cs="仿宋_GB2312"/>
          <w:b w:val="0"/>
          <w:bCs w:val="0"/>
          <w:color w:val="auto"/>
          <w:sz w:val="32"/>
          <w:szCs w:val="32"/>
          <w:highlight w:val="none"/>
          <w:u w:val="none"/>
          <w:lang w:val="en-US" w:eastAsia="zh-CN"/>
        </w:rPr>
        <w:t>1.加强社会主义核心价值观宣传教育，开展丰富多彩的青少年活动。指导各社区开展寒假活动不少于4次，暑假活动不少于12次，市区级五爱教育阵地全年活动不少于20次。开展五爱教育阵地阵地评比，积极培育市区级示范阵地1个。2.加大“身边好人”先进典型挖掘和选树力度，在每个社区至少打造1个“好人工作室”，工作室每月开展惠民服务至少1次。街道公众号持续开辟“先锋大王庄”栏目进行广泛宣传推介。3.深化拓展新时代文明实践所（站）建设，举办社区新时代文明实践工作交流会、期间将开展阵地评比、项目大赛，申报优秀文明实践阵地1个，文明实践项目1个。在丰瑞里社区综合文化服务中心建设大王庄街道新时代文明实践所。4.大力开展全国文明城区创建活动，深化“1+13+N”志愿服务机制，新增特色志愿服务队2-3支，新加盟志愿服务联盟单位5家，开展各类志愿服务活动不少于500场。持续打造“五代润初心”志愿服务一条街品牌，积极培育优秀志愿服务队1支，优秀志愿服务项目1个，申报市区级志愿服务“六个优秀”品牌。5.加强对意识形态工作领导，加强对突发事件和热点问题引导管控，深化网络空间专项治理。6.持续巩固壮大主流思想舆论，围绕“十项行动”等中心工作策划实施重大主题宣传，全力提升“魅力大王庄”微信公众号影响力排名，提高“河东信息”“天津河东”信息报送水平。全年制作视频短片100个。打造精品街道视频短片1-2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（三）不断繁荣发展文化体育事业。</w:t>
      </w:r>
      <w:r>
        <w:rPr>
          <w:rFonts w:hint="eastAsia" w:ascii="仿宋_GB2312" w:hAnsi="仿宋_GB2312" w:eastAsia="仿宋_GB2312" w:cs="仿宋_GB2312"/>
          <w:b w:val="0"/>
          <w:bCs w:val="0"/>
          <w:color w:val="auto"/>
          <w:sz w:val="32"/>
          <w:szCs w:val="32"/>
          <w:highlight w:val="none"/>
          <w:u w:val="none"/>
          <w:lang w:val="en-US" w:eastAsia="zh-CN"/>
        </w:rPr>
        <w:t>1.举办第五届社区文化艺术节，开展居民文艺展演、首届器乐比赛等活动，提供丰富多彩的公共文化产品和贴心服务。2.深耕“银龄学堂”品牌课程，引入第三方服务团队，在丰瑞里社区建设示范性市民文化活动中心暨河东区首家街道级“老年大学”，引进天津音乐学院、天津歌舞剧院等优秀师资力量，开展老年社区教育课程50场。3.组织“全民健身活动月”系列赛事，与企事业单位开展足篮排等赛事活动，以体育拓展互动渠道；用好海河沿线优质资源，打造“海河健步走”“金茂汇体育嘉年华”等精品活动，吸引广大居民参与，形成“悦动大王庄”的文体品牌。4.依托金茂码头，创新探索龙舟、帆船、赛艇等项目，丰富群众海河旅游方式。5.以“青年之家”建设为抓手，举办飞盘、掼蛋等新兴赛事，开展“青年读书分享会”“魅力直沽打卡地摄影展”等文化传播类活动，调动辖区青年人才积极性，营造“活力大王庄”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六、坚持党建引领、凝聚合力，全力打造城市治理高地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kern w:val="2"/>
          <w:sz w:val="32"/>
          <w:szCs w:val="32"/>
          <w:highlight w:val="none"/>
          <w:u w:val="none"/>
          <w:lang w:val="en-US" w:eastAsia="zh-CN" w:bidi="ar-SA"/>
        </w:rPr>
      </w:pPr>
      <w:r>
        <w:rPr>
          <w:rFonts w:hint="eastAsia" w:ascii="楷体_GB2312" w:hAnsi="楷体_GB2312" w:eastAsia="楷体_GB2312" w:cs="楷体_GB2312"/>
          <w:b/>
          <w:bCs/>
          <w:color w:val="auto"/>
          <w:kern w:val="2"/>
          <w:sz w:val="32"/>
          <w:szCs w:val="32"/>
          <w:highlight w:val="none"/>
          <w:u w:val="none"/>
          <w:lang w:val="en-US" w:eastAsia="zh-CN" w:bidi="ar-SA"/>
        </w:rPr>
        <w:t>（一）全面加强基层党组织建设。</w:t>
      </w:r>
      <w:r>
        <w:rPr>
          <w:rFonts w:hint="eastAsia" w:ascii="仿宋_GB2312" w:hAnsi="仿宋_GB2312" w:eastAsia="仿宋_GB2312" w:cs="仿宋_GB2312"/>
          <w:b w:val="0"/>
          <w:bCs w:val="0"/>
          <w:color w:val="auto"/>
          <w:sz w:val="32"/>
          <w:szCs w:val="32"/>
          <w:highlight w:val="none"/>
          <w:u w:val="none"/>
          <w:lang w:val="en-US" w:eastAsia="zh-CN"/>
        </w:rPr>
        <w:t>1.开展软弱涣散党组织整顿，聚焦突出问题，制定特色服务项目，“一委一策”推动后进党组织晋位升级。2.充分发挥社区党委轴心作用，健全完善社区党委领导下的居民代表议事机制、物业企业和业委会四级网格体系、协调议事机制，定期召开会议研究居民反映的突出问题，督促业委会正确履职，物业企业提升服务水平。3.大力推进红色物业、红色业委会创建，进一步提高街域内物业服务企业、物业项目和业委会党组织和党的工作覆盖率。4.加强党建指导员管理，加大走访摸排，着力提高“三新”党组织覆盖率，提升“三新”党建工作水平。5.加大对快递小哥、外卖员等新就业群体的服务指导，摸排党员情况，组建新就业群体党支部。6.进一步完善“社区副书记汇报+专项检查”机制，统筹推进“党建+N”督查检查，推进基层党建工作全面提升。7.建立社区“大党委”列席指导、服务社区制度，充分发挥“大党委”成员作用。8.在各社区打造“红色议事厅”，在有条件的小区开辟“民意直通车”，及时解决群众急难愁盼问题，不断提升基层治理能力。9.持续开展“社区沙龙”活动，全面推行“以智促治”，持续引入天大、商大高知智囊团，为社区提供“金点子”，解决基层管理中的实际难题，不断提升社区党委政治引领能力和社区服务群众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（二）深化党建引领基层治理。</w:t>
      </w:r>
      <w:r>
        <w:rPr>
          <w:rFonts w:hint="eastAsia" w:ascii="仿宋_GB2312" w:hAnsi="仿宋_GB2312" w:eastAsia="仿宋_GB2312" w:cs="仿宋_GB2312"/>
          <w:b w:val="0"/>
          <w:bCs w:val="0"/>
          <w:color w:val="auto"/>
          <w:sz w:val="32"/>
          <w:szCs w:val="32"/>
          <w:highlight w:val="none"/>
          <w:u w:val="none"/>
          <w:lang w:val="en-US" w:eastAsia="zh-CN"/>
        </w:rPr>
        <w:t>1.持续落实党建引领基层治理行动，扎实推进“六治工程”，持续深化“五代服务”党建品牌。2.用好“党建联盟”“志愿服务联盟”资源，延伸组建各行业联盟，赋能经济发展和基层治理。3.指导各社区走访居民、商户，形成需求清单、资源清单和共建项目清单，解决居民难题。4.扎实开展“四个走遍”，指导各科室、各社区建立“为民服务清单”，实打实为居民办实事、解难题。5.大力发展社区基金平台，整合辖区内外社会资源投入民生服务各领域，助力推动居民自治、动员多元力量参与、打造社区治理体系，进一步满足社区需求和资源联动。6.充分发挥专业社工、“五社联动”等服务优势，以基础良好的丰盈里、积善里2个社区为试点，为服务群众打通“最后一米”。7.坚持“抓党建促发展”，学习借鉴中海在朝阳区楼宇党建赋能经济高质量发展经验，打造“行业合伙人+产业上下楼上下游”的特色亮点品牌。8.用好楼宇（园区）党群服务站平台，进一步整合党建资源，积极融入“6+1”主导产业建设，搭建上下游企业资源共享平台，推动产业集聚，为楼宇园区和企业之间交流互动打通“软连接”。9.加强津治通“一张表”梳理使用，不断完善居民信息，为各项工作提供全面辅助分析。10.充分发挥微网格长、社区居民会客厅、12345“风向标”作用，全面掌握群众关注的重点，找准工作方向，提升社区治理水平。11.建立“社区通”各社区特色板块，不断提升平台用户覆盖率，力争将家庭覆盖率提升至80%以上，达到全区中游水平。12.持续推进小云接单服务，努力与区网格中心和社区通平台第三方公司协商，解决小云接单线上服务模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（三）持续提升城市安全韧性。</w:t>
      </w:r>
      <w:r>
        <w:rPr>
          <w:rFonts w:hint="eastAsia" w:ascii="仿宋_GB2312" w:hAnsi="仿宋_GB2312" w:eastAsia="仿宋_GB2312" w:cs="仿宋_GB2312"/>
          <w:b w:val="0"/>
          <w:bCs w:val="0"/>
          <w:color w:val="auto"/>
          <w:sz w:val="32"/>
          <w:szCs w:val="32"/>
          <w:highlight w:val="none"/>
          <w:u w:val="none"/>
          <w:lang w:val="en-US" w:eastAsia="zh-CN"/>
        </w:rPr>
        <w:t>1.专题组织学习国务院安全生产15条硬措施和我市50条具体措施，并落实到位。2.突出重点领域、聚焦重点场所，全方位排查治理各类安全风险隐患，落实落细各项安全防范管控措施，加大宣传力度，坚决遏制生产安全事故发生。3.完善安全生产责任清单、任务清单，问题清单、整改清单，动态更新重点风险清单、风险图。4.推进诚厚里、十三经路等5个智慧车棚改造，并投入使用。5.开展涉稳重点人排查列管，对“五类人员”“6类潜在风险人员”“7种高危情形”等重点人员最新情况进行动态更新，全部纳入视线范围，建立“一人一册、一案一策”，加强关心关怀，做好心理疏导。6.进一步深化“政务+警务”月研判制度，对辖区治安、安全稳定情况和重大隐患进行分析研判。7.指导大型活动做好评估，形成风险排查、防范化解、应急处置工作闭环。8.提前部署做好防汛工作，强化应急能力，分门别类完善应急处置预案，抓好应急演练，加强风险监测预警，配齐配强应急队伍、物资装备、抢险设备，建立健全应急体系。9.对街域内食品企业主体开展督导检查，确保群众“舌尖上的安全”。10.坚持和发展新时代“枫桥经验”，用好“两所两院”资源，不断延伸“三有推定”工作法，组建“调解联盟”，在各社区打造调解工作站，开展共享法庭建设，不断扩大“宜和”调解室法律援助覆盖面；11.对接河东法院做好社区下沉，开展诉前调解、普法宣传，推动物业服务纠纷诉源治理工作；12.对接河东检察院在社区打造检察官工作室，主动接待有需求的群众，就案件事实、法律适用等疑难、争议问题进行针对性听证；13.对接大王庄派出所持续推进“警网联动”，及时发现问题隐患，共同化解矛盾纠纷。14.对重点信访人加强联系，严格落实领导干部接待群众和包案制度，积极协调属事单位化解信访积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（四）加强社会主义民主法治。</w:t>
      </w:r>
      <w:r>
        <w:rPr>
          <w:rFonts w:hint="eastAsia" w:ascii="仿宋_GB2312" w:hAnsi="仿宋_GB2312" w:eastAsia="仿宋_GB2312" w:cs="仿宋_GB2312"/>
          <w:b w:val="0"/>
          <w:bCs w:val="0"/>
          <w:color w:val="auto"/>
          <w:sz w:val="32"/>
          <w:szCs w:val="32"/>
          <w:highlight w:val="none"/>
          <w:u w:val="none"/>
          <w:lang w:val="en-US" w:eastAsia="zh-CN"/>
        </w:rPr>
        <w:t>1.持续推进全过程人民民主，加强和改进人大工委工作，每月组织人大代表到所在选区与选民见面，听取选民意见建议和民生诉求。2.组织推动街道民心工程会商制工作，对年度民生实事项目实施情况进行监督、评估。3.积极创新政协委员履职形式，不断拓宽履职平台。组织街道政协活动组委员认真落实政协工作部署，积极履行政协职能，围绕街道重点工作，切实发挥协调关系、汇聚力量、建言献策、服务大局的作用，打通协商民主“最后一公里”。4.推进全面普法，用好政法资源，将优质公共法律服务送到群众“家门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kern w:val="2"/>
          <w:sz w:val="32"/>
          <w:szCs w:val="32"/>
          <w:highlight w:val="none"/>
          <w:u w:val="none"/>
          <w:lang w:val="en-US" w:eastAsia="zh-CN" w:bidi="ar-SA"/>
        </w:rPr>
      </w:pPr>
      <w:r>
        <w:rPr>
          <w:rFonts w:hint="eastAsia" w:ascii="楷体_GB2312" w:hAnsi="楷体_GB2312" w:eastAsia="楷体_GB2312" w:cs="楷体_GB2312"/>
          <w:b/>
          <w:bCs/>
          <w:color w:val="auto"/>
          <w:kern w:val="2"/>
          <w:sz w:val="32"/>
          <w:szCs w:val="32"/>
          <w:highlight w:val="none"/>
          <w:u w:val="none"/>
          <w:lang w:val="en-US" w:eastAsia="zh-CN" w:bidi="ar-SA"/>
        </w:rPr>
        <w:t>（五）巩固和发展爱国统一战线。</w:t>
      </w:r>
      <w:r>
        <w:rPr>
          <w:rFonts w:hint="eastAsia" w:ascii="仿宋_GB2312" w:hAnsi="仿宋_GB2312" w:eastAsia="仿宋_GB2312" w:cs="仿宋_GB2312"/>
          <w:b w:val="0"/>
          <w:bCs w:val="0"/>
          <w:color w:val="auto"/>
          <w:sz w:val="32"/>
          <w:szCs w:val="32"/>
          <w:highlight w:val="none"/>
          <w:u w:val="none"/>
          <w:lang w:val="en-US" w:eastAsia="zh-CN"/>
        </w:rPr>
        <w:t>1.有效推动统战工作向商会组织有效覆盖，促进新的社会阶层人士统战工作创新发展。2.持续开展“百行百企大调研”活动，健全民营企业服务工作体系。3.做好港澳台侨工作，构建完善大统战工作格局。4.加强民族和宗教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七、坚持全面从严、自我革命，全力打造干事创业高地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（一）加强党的政治建设。</w:t>
      </w:r>
      <w:r>
        <w:rPr>
          <w:rFonts w:hint="eastAsia" w:ascii="仿宋_GB2312" w:hAnsi="仿宋_GB2312" w:eastAsia="仿宋_GB2312" w:cs="仿宋_GB2312"/>
          <w:b w:val="0"/>
          <w:bCs w:val="0"/>
          <w:color w:val="auto"/>
          <w:sz w:val="32"/>
          <w:szCs w:val="32"/>
          <w:highlight w:val="none"/>
          <w:u w:val="none"/>
          <w:lang w:val="en-US" w:eastAsia="zh-CN"/>
        </w:rPr>
        <w:t>1.持续完善“第一议题”“第一政治要件”机制，健全闭环管理工作规则，不断增强坚定拥护“两个确立”、坚决做到“两个维护”的政治自觉。2.健全完善习近平总书记重要指示批示和党中央重大决策部署贯彻落实机制。3.强化政治纪律和政治规矩，严肃党内政治生活，严格执行民主集中，落实重大事项请示报告制度。4.持续净化政治生态，深入开展政治生态分析研判，做好巡察整改、民主生活会整改。5.</w:t>
      </w:r>
      <w:r>
        <w:rPr>
          <w:rFonts w:hint="eastAsia" w:ascii="仿宋_GB2312" w:hAnsi="仿宋_GB2312" w:eastAsia="仿宋_GB2312" w:cs="仿宋_GB2312"/>
          <w:b w:val="0"/>
          <w:bCs w:val="0"/>
          <w:sz w:val="32"/>
          <w:szCs w:val="32"/>
          <w:lang w:val="en-US" w:eastAsia="zh-CN"/>
        </w:rPr>
        <w:t>坚持全面从严治党永远在路上，严格落实“两个责任”“第一责任人责任”和“一岗双责”，抓好班子、带好队伍。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2"/>
          <w:sz w:val="32"/>
          <w:szCs w:val="32"/>
          <w:highlight w:val="none"/>
          <w:u w:val="none"/>
          <w:lang w:val="en-US" w:eastAsia="zh-CN" w:bidi="ar-SA"/>
        </w:rPr>
      </w:pPr>
      <w:r>
        <w:rPr>
          <w:rFonts w:hint="eastAsia" w:ascii="楷体_GB2312" w:hAnsi="楷体_GB2312" w:eastAsia="楷体_GB2312" w:cs="楷体_GB2312"/>
          <w:b/>
          <w:bCs/>
          <w:color w:val="auto"/>
          <w:kern w:val="2"/>
          <w:sz w:val="32"/>
          <w:szCs w:val="32"/>
          <w:highlight w:val="none"/>
          <w:u w:val="none"/>
          <w:lang w:val="en-US" w:eastAsia="zh-CN" w:bidi="ar-SA"/>
        </w:rPr>
        <w:t>（二）坚定不移正风肃纪反腐。</w:t>
      </w:r>
      <w:r>
        <w:rPr>
          <w:rFonts w:hint="eastAsia" w:ascii="仿宋_GB2312" w:hAnsi="仿宋_GB2312" w:eastAsia="仿宋_GB2312" w:cs="仿宋_GB2312"/>
          <w:b w:val="0"/>
          <w:bCs w:val="0"/>
          <w:sz w:val="32"/>
          <w:szCs w:val="32"/>
          <w:lang w:val="en-US" w:eastAsia="zh-CN"/>
        </w:rPr>
        <w:t>1.严格落实中央八项规定精神，持之以恒纠“四风”树新风，深入整治形式主义官僚主义、不担当不作为问题。2.坚持“三个区分开来”，大力开展帮扶教育、回访教育，持续激励干部担当作为。3.加强廉洁文化建设，打造廉洁文化阵地，营造风清气正、崇廉尚洁的社会氛围。4.深化基层监督，完善措施办法，着力破解熟人监督、不会监督难题，努力提升社区纪检监察联络站规范化水平，加强对干部、社区工作者“小微权力”监督，确保权力始终在正确轨道上运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color w:val="auto"/>
          <w:kern w:val="2"/>
          <w:sz w:val="32"/>
          <w:szCs w:val="32"/>
          <w:highlight w:val="none"/>
          <w:u w:val="none"/>
          <w:lang w:val="en-US" w:eastAsia="zh-CN" w:bidi="ar-SA"/>
        </w:rPr>
        <w:t>（三）努力锻造高素质干部队伍。</w:t>
      </w:r>
      <w:r>
        <w:rPr>
          <w:rFonts w:hint="eastAsia" w:ascii="仿宋_GB2312" w:hAnsi="仿宋_GB2312" w:eastAsia="仿宋_GB2312" w:cs="仿宋_GB2312"/>
          <w:b w:val="0"/>
          <w:bCs w:val="0"/>
          <w:sz w:val="32"/>
          <w:szCs w:val="32"/>
          <w:lang w:val="en-US" w:eastAsia="zh-CN"/>
        </w:rPr>
        <w:t>1.强化干部教育管理，以街道内设科室、执法队和三个中心为单位，每月一单位，每月一主题，面向全街党员干部，邀请专家内行、业务能手、身边模范、先进典型等开展“能力提升大讲堂”活动，提升“一专多能”过硬本领。2.加强干部队伍建设，持续优化干部队伍结构组成，注重挖掘干部潜能，严格干部选拔任用程序，加大干部交流力度，增强干部队伍活力。3.加强干部日常教育管理，用好谈心谈话制度，对“混、慢、散、低”的干部坚决打板子、挪位子，为敢于担当、勇于负责的干部鼓劲撑腰。4.关心关爱社区工作者，加强社区工作者队伍建设，不断提升社区治理能力和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pStyle w:val="2"/>
        <w:rPr>
          <w:rFonts w:hint="eastAsia"/>
          <w:lang w:val="en-US" w:eastAsia="zh-CN"/>
        </w:rPr>
      </w:pPr>
    </w:p>
    <w:p>
      <w:pPr>
        <w:pStyle w:val="2"/>
        <w:rPr>
          <w:rFonts w:hint="eastAsia" w:ascii="仿宋_GB2312" w:hAnsi="仿宋_GB2312" w:eastAsia="仿宋_GB2312" w:cs="仿宋_GB2312"/>
          <w:b w:val="0"/>
          <w:bCs w:val="0"/>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中共河东区委大王庄街道工作委员会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河东区人民政府大王庄街道办事处</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b w:val="0"/>
          <w:bCs w:val="0"/>
          <w:sz w:val="32"/>
          <w:szCs w:val="32"/>
          <w:lang w:val="en-US" w:eastAsia="zh-CN"/>
        </w:rPr>
      </w:pPr>
      <w:bookmarkStart w:id="0" w:name="_GoBack"/>
      <w:bookmarkEnd w:id="0"/>
      <w:r>
        <w:rPr>
          <w:rFonts w:hint="eastAsia" w:ascii="仿宋_GB2312" w:hAnsi="仿宋_GB2312" w:eastAsia="仿宋_GB2312" w:cs="仿宋_GB2312"/>
          <w:b w:val="0"/>
          <w:bCs w:val="0"/>
          <w:sz w:val="32"/>
          <w:szCs w:val="32"/>
          <w:lang w:val="en-US" w:eastAsia="zh-CN"/>
        </w:rPr>
        <w:t xml:space="preserve">2024年2月18日      </w:t>
      </w:r>
    </w:p>
    <w:sectPr>
      <w:footerReference r:id="rId3" w:type="default"/>
      <w:pgSz w:w="11906" w:h="16838"/>
      <w:pgMar w:top="2041" w:right="1559" w:bottom="170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20B0604020202020204"/>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MGFlNjg2YWIwOWYzOGJhMGViYjUyYjE5MTEwZWEifQ=="/>
  </w:docVars>
  <w:rsids>
    <w:rsidRoot w:val="396C73A5"/>
    <w:rsid w:val="00092509"/>
    <w:rsid w:val="01A756A3"/>
    <w:rsid w:val="01D75314"/>
    <w:rsid w:val="020F5831"/>
    <w:rsid w:val="0332621A"/>
    <w:rsid w:val="03AF1619"/>
    <w:rsid w:val="03DD6186"/>
    <w:rsid w:val="04A2256B"/>
    <w:rsid w:val="05C21607"/>
    <w:rsid w:val="060A0277"/>
    <w:rsid w:val="06353C37"/>
    <w:rsid w:val="07DA0429"/>
    <w:rsid w:val="092E2FE0"/>
    <w:rsid w:val="0A670558"/>
    <w:rsid w:val="0A757080"/>
    <w:rsid w:val="0C9F42C1"/>
    <w:rsid w:val="0CF602B9"/>
    <w:rsid w:val="0D1E3B0E"/>
    <w:rsid w:val="0D7C0716"/>
    <w:rsid w:val="0E8D69FB"/>
    <w:rsid w:val="0E914B75"/>
    <w:rsid w:val="0F220EF1"/>
    <w:rsid w:val="0FBE2D47"/>
    <w:rsid w:val="11426957"/>
    <w:rsid w:val="11551A52"/>
    <w:rsid w:val="119D0D03"/>
    <w:rsid w:val="1209283C"/>
    <w:rsid w:val="12A444E8"/>
    <w:rsid w:val="130D32C4"/>
    <w:rsid w:val="13AE71F7"/>
    <w:rsid w:val="13C7650B"/>
    <w:rsid w:val="1436070A"/>
    <w:rsid w:val="146426B4"/>
    <w:rsid w:val="14CD18FF"/>
    <w:rsid w:val="14E37374"/>
    <w:rsid w:val="15C522F6"/>
    <w:rsid w:val="15DB629E"/>
    <w:rsid w:val="15F61549"/>
    <w:rsid w:val="16765AAA"/>
    <w:rsid w:val="16B56AEF"/>
    <w:rsid w:val="177B2034"/>
    <w:rsid w:val="181405F5"/>
    <w:rsid w:val="183028D1"/>
    <w:rsid w:val="18B057C0"/>
    <w:rsid w:val="190478B9"/>
    <w:rsid w:val="192B12EA"/>
    <w:rsid w:val="198F4717"/>
    <w:rsid w:val="19F93196"/>
    <w:rsid w:val="1A304E0A"/>
    <w:rsid w:val="1A7C7E95"/>
    <w:rsid w:val="1AC13CB4"/>
    <w:rsid w:val="1AEE0B26"/>
    <w:rsid w:val="1C76287C"/>
    <w:rsid w:val="1D4806BC"/>
    <w:rsid w:val="1D7262D9"/>
    <w:rsid w:val="1EE7180F"/>
    <w:rsid w:val="1F4629DA"/>
    <w:rsid w:val="1FB5597B"/>
    <w:rsid w:val="1FDF2026"/>
    <w:rsid w:val="1FF561AE"/>
    <w:rsid w:val="2057409C"/>
    <w:rsid w:val="22097CEF"/>
    <w:rsid w:val="222F3BF9"/>
    <w:rsid w:val="235654CA"/>
    <w:rsid w:val="24062738"/>
    <w:rsid w:val="243279D1"/>
    <w:rsid w:val="25954889"/>
    <w:rsid w:val="259A582D"/>
    <w:rsid w:val="26E86A6C"/>
    <w:rsid w:val="26F251F5"/>
    <w:rsid w:val="270F224B"/>
    <w:rsid w:val="27275ACB"/>
    <w:rsid w:val="27F07987"/>
    <w:rsid w:val="2858552C"/>
    <w:rsid w:val="28A729F9"/>
    <w:rsid w:val="294E40A6"/>
    <w:rsid w:val="297D4D0F"/>
    <w:rsid w:val="297F7D42"/>
    <w:rsid w:val="29E17ECF"/>
    <w:rsid w:val="2A1F1B82"/>
    <w:rsid w:val="2A9A1E2C"/>
    <w:rsid w:val="2ABC486D"/>
    <w:rsid w:val="2AFA6A0E"/>
    <w:rsid w:val="2BC41327"/>
    <w:rsid w:val="2CBF167E"/>
    <w:rsid w:val="2DB31B82"/>
    <w:rsid w:val="2E8D3ABB"/>
    <w:rsid w:val="2EB55486"/>
    <w:rsid w:val="2EFA1199"/>
    <w:rsid w:val="2F6B4725"/>
    <w:rsid w:val="2FFE5A1F"/>
    <w:rsid w:val="3048473A"/>
    <w:rsid w:val="31411253"/>
    <w:rsid w:val="33686B78"/>
    <w:rsid w:val="344918B1"/>
    <w:rsid w:val="346F2601"/>
    <w:rsid w:val="35262642"/>
    <w:rsid w:val="35BF6BEA"/>
    <w:rsid w:val="369E0EF6"/>
    <w:rsid w:val="36E6534F"/>
    <w:rsid w:val="3784633D"/>
    <w:rsid w:val="37872685"/>
    <w:rsid w:val="37DF5322"/>
    <w:rsid w:val="387451BA"/>
    <w:rsid w:val="387719FE"/>
    <w:rsid w:val="38944D46"/>
    <w:rsid w:val="396C73A5"/>
    <w:rsid w:val="39763A64"/>
    <w:rsid w:val="3993006F"/>
    <w:rsid w:val="3AC56096"/>
    <w:rsid w:val="3B5D137F"/>
    <w:rsid w:val="3B832980"/>
    <w:rsid w:val="3BDC6B40"/>
    <w:rsid w:val="3CFA7449"/>
    <w:rsid w:val="3D6B4AE1"/>
    <w:rsid w:val="3E15489E"/>
    <w:rsid w:val="3E3C54F5"/>
    <w:rsid w:val="3E94330A"/>
    <w:rsid w:val="3EB13344"/>
    <w:rsid w:val="3F827606"/>
    <w:rsid w:val="40FB37EC"/>
    <w:rsid w:val="428914A3"/>
    <w:rsid w:val="43BD0C0D"/>
    <w:rsid w:val="44A504D3"/>
    <w:rsid w:val="45457849"/>
    <w:rsid w:val="45EF7078"/>
    <w:rsid w:val="45F46273"/>
    <w:rsid w:val="46206466"/>
    <w:rsid w:val="463D7DE3"/>
    <w:rsid w:val="4645480E"/>
    <w:rsid w:val="46D82C54"/>
    <w:rsid w:val="47AC3472"/>
    <w:rsid w:val="48B06F92"/>
    <w:rsid w:val="48D6451F"/>
    <w:rsid w:val="4A5E20DB"/>
    <w:rsid w:val="4A821143"/>
    <w:rsid w:val="4C6D0CF6"/>
    <w:rsid w:val="4D3A4DD1"/>
    <w:rsid w:val="4DA46784"/>
    <w:rsid w:val="4DF47921"/>
    <w:rsid w:val="4E233B70"/>
    <w:rsid w:val="4E475783"/>
    <w:rsid w:val="4EC217CD"/>
    <w:rsid w:val="4FEB3E89"/>
    <w:rsid w:val="50D253CB"/>
    <w:rsid w:val="511A06EB"/>
    <w:rsid w:val="514B77DF"/>
    <w:rsid w:val="518E7DF8"/>
    <w:rsid w:val="519C16D9"/>
    <w:rsid w:val="533E2661"/>
    <w:rsid w:val="5343618F"/>
    <w:rsid w:val="538F3079"/>
    <w:rsid w:val="547F5A6B"/>
    <w:rsid w:val="54FF5C81"/>
    <w:rsid w:val="562C598F"/>
    <w:rsid w:val="56AA12B5"/>
    <w:rsid w:val="56BC6B02"/>
    <w:rsid w:val="57044A0A"/>
    <w:rsid w:val="576954E6"/>
    <w:rsid w:val="57F4051E"/>
    <w:rsid w:val="5A5534F6"/>
    <w:rsid w:val="5B0B2944"/>
    <w:rsid w:val="5B402954"/>
    <w:rsid w:val="5B865931"/>
    <w:rsid w:val="5BED0FB3"/>
    <w:rsid w:val="5CC71E5A"/>
    <w:rsid w:val="5D2A6D01"/>
    <w:rsid w:val="5D2B52D8"/>
    <w:rsid w:val="5EA22EE2"/>
    <w:rsid w:val="5EDC0152"/>
    <w:rsid w:val="5F0A3CB7"/>
    <w:rsid w:val="5FE14FFA"/>
    <w:rsid w:val="60471B32"/>
    <w:rsid w:val="6106379C"/>
    <w:rsid w:val="614147D4"/>
    <w:rsid w:val="621A2B05"/>
    <w:rsid w:val="62503AE7"/>
    <w:rsid w:val="627C38C5"/>
    <w:rsid w:val="629E5C56"/>
    <w:rsid w:val="63021D41"/>
    <w:rsid w:val="630E086F"/>
    <w:rsid w:val="658A4348"/>
    <w:rsid w:val="67D47381"/>
    <w:rsid w:val="684C2B06"/>
    <w:rsid w:val="686D2352"/>
    <w:rsid w:val="68721717"/>
    <w:rsid w:val="68B827A5"/>
    <w:rsid w:val="68CB194B"/>
    <w:rsid w:val="6A3A4ADF"/>
    <w:rsid w:val="6B086362"/>
    <w:rsid w:val="6B1479D8"/>
    <w:rsid w:val="6BA512DD"/>
    <w:rsid w:val="6BC351A5"/>
    <w:rsid w:val="6BDE47B7"/>
    <w:rsid w:val="6C5B3C67"/>
    <w:rsid w:val="6D7F3FFA"/>
    <w:rsid w:val="6F3040D9"/>
    <w:rsid w:val="6F3C2DD2"/>
    <w:rsid w:val="6F931592"/>
    <w:rsid w:val="70BA1EAD"/>
    <w:rsid w:val="72807126"/>
    <w:rsid w:val="728F3CC7"/>
    <w:rsid w:val="72D07765"/>
    <w:rsid w:val="73544A99"/>
    <w:rsid w:val="74363F40"/>
    <w:rsid w:val="747552BC"/>
    <w:rsid w:val="759C6025"/>
    <w:rsid w:val="7620778A"/>
    <w:rsid w:val="763E6A68"/>
    <w:rsid w:val="76C324D4"/>
    <w:rsid w:val="77422BFC"/>
    <w:rsid w:val="774E1985"/>
    <w:rsid w:val="77F02658"/>
    <w:rsid w:val="78C20A4C"/>
    <w:rsid w:val="79C35EDA"/>
    <w:rsid w:val="7A003247"/>
    <w:rsid w:val="7A2A1819"/>
    <w:rsid w:val="7A735C28"/>
    <w:rsid w:val="7A807CB8"/>
    <w:rsid w:val="7ADD5362"/>
    <w:rsid w:val="7B1F73F5"/>
    <w:rsid w:val="7B694CC3"/>
    <w:rsid w:val="7B955067"/>
    <w:rsid w:val="7C921F30"/>
    <w:rsid w:val="7CAF2AE1"/>
    <w:rsid w:val="7D1E1DE6"/>
    <w:rsid w:val="7D252DA4"/>
    <w:rsid w:val="7D2F3C22"/>
    <w:rsid w:val="7D3B6123"/>
    <w:rsid w:val="7EBF366D"/>
    <w:rsid w:val="7F1969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3">
    <w:name w:val="annotation text"/>
    <w:basedOn w:val="1"/>
    <w:qFormat/>
    <w:uiPriority w:val="0"/>
    <w:pPr>
      <w:jc w:val="left"/>
    </w:pPr>
    <w:rPr>
      <w:rFonts w:ascii="Calibri" w:hAnsi="Calibri"/>
    </w:rPr>
  </w:style>
  <w:style w:type="paragraph" w:styleId="4">
    <w:name w:val="Body Text"/>
    <w:basedOn w:val="1"/>
    <w:qFormat/>
    <w:uiPriority w:val="0"/>
    <w:pPr>
      <w:jc w:val="center"/>
    </w:pPr>
    <w:rPr>
      <w:rFonts w:ascii="Times New Roman" w:hAnsi="Times New Roman" w:eastAsia="黑体" w:cs="Times New Roman"/>
      <w:sz w:val="36"/>
      <w:szCs w:val="24"/>
    </w:rPr>
  </w:style>
  <w:style w:type="paragraph" w:styleId="5">
    <w:name w:val="Date"/>
    <w:basedOn w:val="1"/>
    <w:next w:val="1"/>
    <w:unhideWhenUsed/>
    <w:qFormat/>
    <w:uiPriority w:val="99"/>
    <w:pPr>
      <w:ind w:left="100" w:leftChars="2500"/>
    </w:pPr>
    <w:rPr>
      <w:rFonts w:ascii="仿宋_GB2312" w:eastAsia="仿宋_GB2312"/>
      <w:sz w:val="32"/>
    </w:rPr>
  </w:style>
  <w:style w:type="paragraph" w:styleId="6">
    <w:name w:val="Body Text First Indent 2"/>
    <w:basedOn w:val="1"/>
    <w:next w:val="5"/>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paragraph" w:customStyle="1" w:styleId="13">
    <w:name w:val="正文文本首行缩进 21"/>
    <w:basedOn w:val="1"/>
    <w:qFormat/>
    <w:uiPriority w:val="0"/>
    <w:pPr>
      <w:spacing w:line="500" w:lineRule="exact"/>
      <w:ind w:firstLine="200" w:firstLineChars="200"/>
    </w:pPr>
    <w:rPr>
      <w:rFonts w:ascii="Times New Roman" w:hAnsi="Times New Roman" w:eastAsia="宋体" w:cs="Times New Roman"/>
    </w:rPr>
  </w:style>
  <w:style w:type="paragraph" w:customStyle="1" w:styleId="14">
    <w:name w:val="BodyText"/>
    <w:basedOn w:val="1"/>
    <w:qFormat/>
    <w:uiPriority w:val="0"/>
    <w:rPr>
      <w:rFonts w:ascii="Times New Roman" w:hAnsi="Times New Roman" w:eastAsia="文星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2023-10-26T02:14:00Z</dcterms:created>
  <dc:creator>HP-01</dc:creator>
  <cp:lastModifiedBy>Administrator</cp:lastModifiedBy>
  <cp:lastPrinted>2024-02-18T09:52:00Z</cp:lastPrinted>
  <dcterms:modified xsi:type="dcterms:W3CDTF">2024-03-05T09:23:26Z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0C51CB32F54F426B93E47A0E73413BB9_13</vt:lpwstr>
  </property>
</Properties>
</file>