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E90767">
      <w:pPr>
        <w:pStyle w:val="7"/>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pPr>
    </w:p>
    <w:p w14:paraId="1952E71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河东区国资委202</w:t>
      </w:r>
      <w:r>
        <w:rPr>
          <w:rFonts w:hint="eastAsia" w:ascii="方正小标宋简体" w:hAnsi="方正小标宋简体" w:eastAsia="方正小标宋简体" w:cs="方正小标宋简体"/>
          <w:sz w:val="44"/>
          <w:szCs w:val="44"/>
          <w:lang w:val="en-US" w:eastAsia="zh-CN"/>
        </w:rPr>
        <w:t>4</w:t>
      </w:r>
      <w:r>
        <w:rPr>
          <w:rFonts w:hint="eastAsia" w:ascii="方正小标宋简体" w:hAnsi="方正小标宋简体" w:eastAsia="方正小标宋简体" w:cs="方正小标宋简体"/>
          <w:sz w:val="44"/>
          <w:szCs w:val="44"/>
        </w:rPr>
        <w:t>年工作要点</w:t>
      </w:r>
    </w:p>
    <w:p w14:paraId="1C6D961E">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lang w:val="en-US" w:eastAsia="zh-CN"/>
        </w:rPr>
      </w:pPr>
    </w:p>
    <w:p w14:paraId="01CE1372">
      <w:pPr>
        <w:pStyle w:val="2"/>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lang w:val="en-US" w:eastAsia="zh-CN"/>
        </w:rPr>
        <w:t>2024年是贯彻落实党的二十大精神的关键之年，是新一轮国企改革的开局之年，是推进落实“十四五”战略发展规划的攻坚之年。为认真落实陈敏尔书记在推进全市国资国企高质量发展座谈会上重要讲话精神，强调要着力盘活存量、培育增量、提升质量，切实提高区属国有企业核心竞争力、增强区属国有企业核心功能，进一步推动国资国企高质量发展走深走实，结合实际制定2024年工作要点。</w:t>
      </w:r>
    </w:p>
    <w:p w14:paraId="72F79B46">
      <w:pPr>
        <w:pStyle w:val="2"/>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sz w:val="34"/>
          <w:szCs w:val="34"/>
          <w:lang w:val="en-US" w:eastAsia="zh-CN"/>
        </w:rPr>
      </w:pPr>
      <w:r>
        <w:rPr>
          <w:rFonts w:hint="eastAsia" w:ascii="楷体" w:hAnsi="楷体" w:eastAsia="楷体" w:cs="楷体"/>
          <w:b/>
          <w:bCs/>
          <w:sz w:val="34"/>
          <w:szCs w:val="34"/>
          <w:lang w:val="en-US" w:eastAsia="zh-CN"/>
        </w:rPr>
        <w:t>全委工作的总体要求是：</w:t>
      </w:r>
      <w:r>
        <w:rPr>
          <w:rFonts w:hint="eastAsia" w:ascii="仿宋_GB2312" w:hAnsi="仿宋_GB2312" w:eastAsia="仿宋_GB2312" w:cs="仿宋_GB2312"/>
          <w:sz w:val="34"/>
          <w:szCs w:val="34"/>
          <w:lang w:val="en-US" w:eastAsia="zh-CN"/>
        </w:rPr>
        <w:t>坚持用习近平新时代中国特色社会主义思想为指导，聚焦全面提高机关党建质量，强化问题导向，坚持守正创新，以党的政治建设为统领全面推进党的各项建设。深入学习宣传贯彻习近平总书记视察天津重要讲话精神，真正落实好“四个善作善成”，深入贯彻落实习近平总书记关于国有企业改革发展和党的建设重要论述，以落实“十项行动”、开展“三量”工作为关键抓手，增信心、破难题，</w:t>
      </w:r>
      <w:r>
        <w:rPr>
          <w:rFonts w:hint="eastAsia" w:ascii="仿宋_GB2312" w:hAnsi="仿宋_GB2312" w:eastAsia="仿宋_GB2312" w:cs="仿宋_GB2312"/>
          <w:sz w:val="34"/>
          <w:szCs w:val="34"/>
        </w:rPr>
        <w:t>深入推进国企改革创新，加强国企精细化管理，</w:t>
      </w:r>
      <w:r>
        <w:rPr>
          <w:rFonts w:hint="eastAsia" w:ascii="仿宋_GB2312" w:hAnsi="仿宋_GB2312" w:eastAsia="仿宋_GB2312" w:cs="仿宋_GB2312"/>
          <w:sz w:val="34"/>
          <w:szCs w:val="34"/>
          <w:lang w:val="en-US" w:eastAsia="zh-CN"/>
        </w:rPr>
        <w:t>扎实谋划和实施好本区新一轮国企改革深化提升行动，</w:t>
      </w:r>
      <w:r>
        <w:rPr>
          <w:rFonts w:hint="eastAsia" w:ascii="仿宋_GB2312" w:hAnsi="仿宋_GB2312" w:eastAsia="仿宋_GB2312" w:cs="仿宋_GB2312"/>
          <w:sz w:val="34"/>
          <w:szCs w:val="34"/>
        </w:rPr>
        <w:t>持续强化市场意识、提高盈利能力、控制各项成本，壮大</w:t>
      </w:r>
      <w:r>
        <w:rPr>
          <w:rFonts w:hint="eastAsia" w:ascii="仿宋_GB2312" w:hAnsi="仿宋_GB2312" w:eastAsia="仿宋_GB2312" w:cs="仿宋_GB2312"/>
          <w:sz w:val="34"/>
          <w:szCs w:val="34"/>
          <w:lang w:eastAsia="zh-CN"/>
        </w:rPr>
        <w:t>国企</w:t>
      </w:r>
      <w:r>
        <w:rPr>
          <w:rFonts w:hint="eastAsia" w:ascii="仿宋_GB2312" w:hAnsi="仿宋_GB2312" w:eastAsia="仿宋_GB2312" w:cs="仿宋_GB2312"/>
          <w:sz w:val="34"/>
          <w:szCs w:val="34"/>
        </w:rPr>
        <w:t>实力，严控企业经营风险，加快国有经济布局优化和结构调整，完善中国特色国有企业现代公司治理，切实发挥国有企业科技创新、产业控制、安全支撑作用，做强做优做大国有资本和国有企业</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以高质量党建引领护航高质量发展，持续深化国有企业改革，以党的政治建设为统领，以坚定理想信念宗旨为根基，以实施基层党建为抓手，以持续巩固主题教育成果为重点推动国资国企系统高质量发展，</w:t>
      </w:r>
      <w:r>
        <w:rPr>
          <w:rFonts w:hint="eastAsia" w:ascii="仿宋_GB2312" w:hAnsi="仿宋_GB2312" w:eastAsia="仿宋_GB2312" w:cs="仿宋_GB2312"/>
          <w:sz w:val="34"/>
          <w:szCs w:val="34"/>
        </w:rPr>
        <w:t xml:space="preserve">以“时时放心不下”的责任感、奋发有为的精气神、一往无前的奋斗姿态，扎扎实实做好国资国企改革发展和党的建设各项工作。  </w:t>
      </w:r>
    </w:p>
    <w:p w14:paraId="7E9C70D0">
      <w:pPr>
        <w:pStyle w:val="2"/>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楷体" w:hAnsi="楷体" w:eastAsia="楷体" w:cs="楷体"/>
          <w:b/>
          <w:bCs/>
          <w:sz w:val="34"/>
          <w:szCs w:val="34"/>
          <w:lang w:val="en-US" w:eastAsia="zh-CN"/>
        </w:rPr>
      </w:pPr>
      <w:r>
        <w:rPr>
          <w:rFonts w:hint="eastAsia" w:ascii="楷体" w:hAnsi="楷体" w:eastAsia="楷体" w:cs="楷体"/>
          <w:b/>
          <w:bCs/>
          <w:sz w:val="34"/>
          <w:szCs w:val="34"/>
          <w:lang w:val="en-US" w:eastAsia="zh-CN"/>
        </w:rPr>
        <w:t>一、坚持推进国资国企系统改革，以“三量”工作为抓手提升高质量发展</w:t>
      </w:r>
    </w:p>
    <w:p w14:paraId="553A85DF">
      <w:pPr>
        <w:pStyle w:val="2"/>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sz w:val="34"/>
          <w:szCs w:val="34"/>
          <w:lang w:val="en-US" w:eastAsia="zh-CN"/>
        </w:rPr>
      </w:pPr>
      <w:r>
        <w:rPr>
          <w:rFonts w:hint="eastAsia" w:ascii="楷体" w:hAnsi="楷体" w:eastAsia="楷体" w:cs="楷体"/>
          <w:b/>
          <w:bCs/>
          <w:sz w:val="34"/>
          <w:szCs w:val="34"/>
          <w:lang w:val="en-US" w:eastAsia="zh-CN"/>
        </w:rPr>
        <w:t>1.加快盘活存量，提高资产资源配置效率。</w:t>
      </w:r>
      <w:r>
        <w:rPr>
          <w:rFonts w:hint="eastAsia" w:ascii="仿宋_GB2312" w:hAnsi="仿宋_GB2312" w:eastAsia="仿宋_GB2312" w:cs="仿宋_GB2312"/>
          <w:sz w:val="34"/>
          <w:szCs w:val="34"/>
          <w:lang w:val="en" w:eastAsia="zh-CN"/>
        </w:rPr>
        <w:t>根据自身资源禀赋，分类施策，“一企一策”明确盘活路径方法。</w:t>
      </w:r>
      <w:r>
        <w:rPr>
          <w:rFonts w:hint="eastAsia" w:ascii="仿宋_GB2312" w:hAnsi="仿宋_GB2312" w:eastAsia="仿宋_GB2312" w:cs="仿宋_GB2312"/>
          <w:sz w:val="34"/>
          <w:szCs w:val="34"/>
          <w:lang w:val="en-US" w:eastAsia="zh-CN"/>
        </w:rPr>
        <w:t>加大对自有房产及购置房产、闲置</w:t>
      </w:r>
      <w:bookmarkStart w:id="0" w:name="_GoBack"/>
      <w:bookmarkEnd w:id="0"/>
      <w:r>
        <w:rPr>
          <w:rFonts w:hint="eastAsia" w:ascii="仿宋_GB2312" w:hAnsi="仿宋_GB2312" w:eastAsia="仿宋_GB2312" w:cs="仿宋_GB2312"/>
          <w:sz w:val="34"/>
          <w:szCs w:val="34"/>
          <w:lang w:val="en-US" w:eastAsia="zh-CN"/>
        </w:rPr>
        <w:t>老旧厂房、零散地块等土地房产的盘活路径、宣传推广力度。通过建设公共停车设施、生活性便民商业、便民体育设施等多种方式，利用好区内零散边角土地资源，在提高群众服务水平，提升城市活力的同时，实现土地的利用价值。积极推进医疗器械产业园的建设运营；持续推动建设二手商品流通产业园，通过持续盘活各类老厂房，建设特色产业园区，助推新产业生成，促进老产业升级，逐步形成特色产业集聚群。</w:t>
      </w:r>
    </w:p>
    <w:p w14:paraId="10B4624F">
      <w:pPr>
        <w:pStyle w:val="2"/>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sz w:val="34"/>
          <w:szCs w:val="34"/>
          <w:lang w:val="en-US" w:eastAsia="zh-CN"/>
        </w:rPr>
      </w:pPr>
      <w:r>
        <w:rPr>
          <w:rFonts w:hint="eastAsia" w:ascii="楷体" w:hAnsi="楷体" w:eastAsia="楷体" w:cs="楷体"/>
          <w:b/>
          <w:bCs/>
          <w:sz w:val="34"/>
          <w:szCs w:val="34"/>
          <w:lang w:val="en-US" w:eastAsia="zh-CN"/>
        </w:rPr>
        <w:t>2.积极扩大增量，培育经济新的增长点。</w:t>
      </w:r>
      <w:r>
        <w:rPr>
          <w:rFonts w:hint="eastAsia" w:ascii="仿宋_GB2312" w:hAnsi="仿宋_GB2312" w:eastAsia="仿宋_GB2312" w:cs="仿宋_GB2312"/>
          <w:sz w:val="34"/>
          <w:szCs w:val="34"/>
          <w:lang w:val="en-US" w:eastAsia="zh-CN"/>
        </w:rPr>
        <w:t>狠抓项目谋划、项目转化、项目落地，推动产业布局调整，持续推动三个集团做优做强。全力推进城市更新项目建设，以一冷天音片区等城市更新项目为河东国资发展提供新引擎，深入挖掘存量资源价值，协同京津冀一体化产业资源打造高品质产业载体，实现“一手抓投资拉动，一手抓产业增量”。以创新转型调结构为核心，围绕投融资产业导入、城市运营等新业态，做好资本运营新文章。全力构建新能源产业结构布局，立足河东国资国企资源禀赋，坚持内涵式发展，重点围绕落实绿色低碳发展专项行动，以城市“零”耗综合服务站建设、公共充电基础设施建设与运营、屋顶分布式光伏建设，共同构建新能源产业结构布局。全力推进区属国企投融资改革，引入优质社会资本，创新投资运营模式，发挥基金撬动投资的作用，实现河东区城市运营产业基金投资运营和河东区大健康产业基金的组建。全力推动平台公司转型发展，打造区属商贸板块新业务，深入贯彻平台公司转型发展要求，结合集团自身资源禀赋，谋划新布局，发掘新领域，增设区属贸易板块，推动区内商贸企业发展。</w:t>
      </w:r>
    </w:p>
    <w:p w14:paraId="51AF8DCC">
      <w:pPr>
        <w:pStyle w:val="2"/>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sz w:val="34"/>
          <w:szCs w:val="34"/>
          <w:lang w:val="en-US" w:eastAsia="zh-CN"/>
        </w:rPr>
      </w:pPr>
      <w:r>
        <w:rPr>
          <w:rFonts w:hint="eastAsia" w:ascii="楷体" w:hAnsi="楷体" w:eastAsia="楷体" w:cs="楷体"/>
          <w:b/>
          <w:bCs/>
          <w:sz w:val="34"/>
          <w:szCs w:val="34"/>
          <w:lang w:val="en-US" w:eastAsia="zh-CN"/>
        </w:rPr>
        <w:t>3.着力提升质量，推进国资国企改革发展。</w:t>
      </w:r>
      <w:r>
        <w:rPr>
          <w:rFonts w:hint="eastAsia" w:ascii="仿宋_GB2312" w:hAnsi="仿宋_GB2312" w:eastAsia="仿宋_GB2312" w:cs="仿宋_GB2312"/>
          <w:sz w:val="34"/>
          <w:szCs w:val="34"/>
          <w:lang w:val="en-US" w:eastAsia="zh-CN"/>
        </w:rPr>
        <w:t>推进“三量”工作，牢牢把握“四个善作善成”的重要要求，在发展新质生产力上善作善成，在进一步全面深化改革开放上善作善成，在推动文化传承发展上善作善成，在提升城市治理现代化水平上善作善成，贯彻落实到新一轮国企改革的各方面、全过程。增强做好“三量”工作的责任感、紧迫感、使命感，全面发动、上下协同。坚持深化改革不松劲，重点聚焦提升区属国企核心竞争力，建设现代新国企，巩固国企改革三年行动成果，谋划制定新一轮国企改革深化提升方案，持续推动国企改革走深走实。</w:t>
      </w:r>
    </w:p>
    <w:p w14:paraId="166D1B82">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楷体" w:hAnsi="楷体" w:eastAsia="楷体" w:cs="楷体"/>
          <w:b/>
          <w:bCs/>
          <w:kern w:val="2"/>
          <w:sz w:val="34"/>
          <w:szCs w:val="34"/>
          <w:lang w:val="en-US" w:eastAsia="zh-CN" w:bidi="ar-SA"/>
        </w:rPr>
      </w:pPr>
      <w:r>
        <w:rPr>
          <w:rFonts w:hint="eastAsia" w:ascii="楷体" w:hAnsi="楷体" w:eastAsia="楷体" w:cs="楷体"/>
          <w:b/>
          <w:bCs/>
          <w:kern w:val="2"/>
          <w:sz w:val="34"/>
          <w:szCs w:val="34"/>
          <w:lang w:val="en-US" w:eastAsia="zh-CN" w:bidi="ar-SA"/>
        </w:rPr>
        <w:t>二、坚持强化国企监管，重在防范各种类型风险</w:t>
      </w:r>
    </w:p>
    <w:p w14:paraId="27F6CC4B">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kern w:val="2"/>
          <w:sz w:val="34"/>
          <w:szCs w:val="34"/>
          <w:lang w:val="en-US" w:eastAsia="zh-CN" w:bidi="ar-SA"/>
        </w:rPr>
        <w:t>4.层层压实监管责任。</w:t>
      </w:r>
      <w:r>
        <w:rPr>
          <w:rFonts w:hint="eastAsia" w:ascii="仿宋_GB2312" w:hAnsi="仿宋_GB2312" w:eastAsia="仿宋_GB2312" w:cs="仿宋_GB2312"/>
          <w:kern w:val="2"/>
          <w:sz w:val="34"/>
          <w:szCs w:val="34"/>
          <w:lang w:val="en-US" w:eastAsia="zh-CN" w:bidi="ar-SA"/>
        </w:rPr>
        <w:t>健全投资事项监管管理、违规经营投资责任追究等制度，进一步构建和完善业务监督、综合监督、责任追究“三位一体”的出资人监督机制。</w:t>
      </w:r>
    </w:p>
    <w:p w14:paraId="681EF73D">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color w:val="000000" w:themeColor="text1"/>
          <w:kern w:val="2"/>
          <w:sz w:val="34"/>
          <w:szCs w:val="34"/>
          <w:lang w:val="en-US" w:eastAsia="zh-CN" w:bidi="ar-SA"/>
          <w14:textFill>
            <w14:solidFill>
              <w14:schemeClr w14:val="tx1"/>
            </w14:solidFill>
          </w14:textFill>
        </w:rPr>
        <w:t>5.提升国企公司治理和管理水平。</w:t>
      </w:r>
      <w:r>
        <w:rPr>
          <w:rFonts w:hint="eastAsia" w:ascii="仿宋_GB2312" w:hAnsi="仿宋_GB2312" w:eastAsia="仿宋_GB2312" w:cs="仿宋_GB2312"/>
          <w:kern w:val="2"/>
          <w:sz w:val="34"/>
          <w:szCs w:val="34"/>
          <w:lang w:val="en-US" w:eastAsia="zh-CN" w:bidi="ar-SA"/>
        </w:rPr>
        <w:t>深化落实“两个一以贯之”，完善党领导国有企业的制度机制，进一步优化党委前置研究讨论重大经营管理事项清单，立足河东区国资国企系统实际，重点聚焦提升区属国企核心竞争力，强化核心功能，着力规范“三会一层”运行，形成“权责法定、权责透明、协调运转、有效制衡”的公司治理机制，强化对授权放权事项的监督管理和跟踪评价，提升外部董事素质和履职能力。抓好经理层任期制、契约化管理和差异化薪酬分配，真正实现三个集团按市场化机制运营。</w:t>
      </w:r>
    </w:p>
    <w:p w14:paraId="669E69C6">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kern w:val="2"/>
          <w:sz w:val="34"/>
          <w:szCs w:val="34"/>
          <w:lang w:val="en-US" w:eastAsia="zh-CN" w:bidi="ar-SA"/>
        </w:rPr>
        <w:t>6.完善监管企业2023年考核体系建设，合理差异化设置考核指标。</w:t>
      </w:r>
      <w:r>
        <w:rPr>
          <w:rFonts w:hint="eastAsia" w:ascii="仿宋_GB2312" w:hAnsi="仿宋_GB2312" w:eastAsia="仿宋_GB2312" w:cs="仿宋_GB2312"/>
          <w:kern w:val="2"/>
          <w:sz w:val="34"/>
          <w:szCs w:val="34"/>
          <w:lang w:val="en-US" w:eastAsia="zh-CN" w:bidi="ar-SA"/>
        </w:rPr>
        <w:t>坚持分类改革分类考核，压实企业负责人的经营责任，推动三个集团实施全员绩效考核，严格管控成本，逐步实现降本增效。继续按照竞争型、功能型企业进行指标设置，结合区国资委监管企业实际，推动三个集团实施全员绩效考核。严格管控人力成本，以工资决定机制改革为依托，以人力成本总额及工资总额预算为基础，严格把控企业的人力成本总额，抓好企业成本效益。加强监管平台的运用，不断完善各项监管制度，用制度管理企业，用制度规范行。</w:t>
      </w:r>
    </w:p>
    <w:p w14:paraId="22A4160C">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kern w:val="2"/>
          <w:sz w:val="34"/>
          <w:szCs w:val="34"/>
          <w:lang w:val="en-US" w:eastAsia="zh-CN" w:bidi="ar-SA"/>
        </w:rPr>
        <w:t>7.强化经济运行分析。</w:t>
      </w:r>
      <w:r>
        <w:rPr>
          <w:rFonts w:hint="eastAsia" w:ascii="仿宋_GB2312" w:hAnsi="仿宋_GB2312" w:eastAsia="仿宋_GB2312" w:cs="仿宋_GB2312"/>
          <w:kern w:val="2"/>
          <w:sz w:val="34"/>
          <w:szCs w:val="34"/>
          <w:lang w:val="en-US" w:eastAsia="zh-CN" w:bidi="ar-SA"/>
        </w:rPr>
        <w:t>充分发挥国资系统经济运行分析专班作用，统筹做好经济运行分析，查找管理缺陷、规范财务核算、严格财务管理，及时监控经济指标，持续管控现金流，强弱项补短板，提高各集团及所属企业争市场、抢项目的经济运行意识、财务监管意识、国有资产保值增值意识。</w:t>
      </w:r>
    </w:p>
    <w:p w14:paraId="3C3C708B">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kern w:val="2"/>
          <w:sz w:val="34"/>
          <w:szCs w:val="34"/>
          <w:lang w:val="en-US" w:eastAsia="zh-CN" w:bidi="ar-SA"/>
        </w:rPr>
        <w:t>8.强化涉法涉诉案件管控。</w:t>
      </w:r>
      <w:r>
        <w:rPr>
          <w:rFonts w:hint="eastAsia" w:ascii="仿宋_GB2312" w:hAnsi="仿宋_GB2312" w:eastAsia="仿宋_GB2312" w:cs="仿宋_GB2312"/>
          <w:kern w:val="2"/>
          <w:sz w:val="34"/>
          <w:szCs w:val="34"/>
          <w:lang w:val="en-US" w:eastAsia="zh-CN" w:bidi="ar-SA"/>
        </w:rPr>
        <w:t>完善国资系统法律纠纷事务处置专班运行机制，持续推动各集团对历史遗留问题梳理解决，对因历史遗留问题而形成的涉法涉诉案件及时采取措施进行应对，最大限度减少国有资产流失损失。</w:t>
      </w:r>
    </w:p>
    <w:p w14:paraId="5AD4ED80">
      <w:pPr>
        <w:pStyle w:val="6"/>
        <w:keepNext w:val="0"/>
        <w:keepLines w:val="0"/>
        <w:pageBreakBefore w:val="0"/>
        <w:widowControl w:val="0"/>
        <w:kinsoku/>
        <w:wordWrap/>
        <w:overflowPunct/>
        <w:topLinePunct w:val="0"/>
        <w:autoSpaceDE/>
        <w:autoSpaceDN/>
        <w:bidi w:val="0"/>
        <w:adjustRightInd/>
        <w:snapToGrid/>
        <w:spacing w:line="600" w:lineRule="exact"/>
        <w:ind w:firstLine="683" w:firstLineChars="200"/>
        <w:textAlignment w:val="auto"/>
        <w:rPr>
          <w:rFonts w:hint="eastAsia" w:ascii="仿宋_GB2312" w:hAnsi="仿宋_GB2312" w:eastAsia="仿宋_GB2312" w:cs="仿宋_GB2312"/>
          <w:kern w:val="2"/>
          <w:sz w:val="34"/>
          <w:szCs w:val="34"/>
          <w:lang w:val="en-US" w:eastAsia="zh-CN" w:bidi="ar-SA"/>
        </w:rPr>
      </w:pPr>
      <w:r>
        <w:rPr>
          <w:rFonts w:hint="eastAsia" w:ascii="楷体" w:hAnsi="楷体" w:eastAsia="楷体" w:cs="楷体"/>
          <w:b/>
          <w:bCs/>
          <w:kern w:val="2"/>
          <w:sz w:val="34"/>
          <w:szCs w:val="34"/>
          <w:lang w:val="en-US" w:eastAsia="zh-CN" w:bidi="ar-SA"/>
        </w:rPr>
        <w:t>9.狠抓安全生产责任制，做到安全生产有人管、督查严、常态化。</w:t>
      </w:r>
      <w:r>
        <w:rPr>
          <w:rFonts w:hint="eastAsia" w:ascii="仿宋_GB2312" w:hAnsi="仿宋_GB2312" w:eastAsia="仿宋_GB2312" w:cs="仿宋_GB2312"/>
          <w:kern w:val="2"/>
          <w:sz w:val="34"/>
          <w:szCs w:val="34"/>
          <w:lang w:val="en-US" w:eastAsia="zh-CN" w:bidi="ar-SA"/>
        </w:rPr>
        <w:t>全面落实安全生产责任制，加强安全生产宣传教育建设，紧盯重要领域、重点项目及整治重点，及时排查整治安全隐患，确保守牢不发生重大安全生产事故的底线。</w:t>
      </w:r>
    </w:p>
    <w:p w14:paraId="5FCDE637">
      <w:pPr>
        <w:pStyle w:val="6"/>
        <w:keepNext w:val="0"/>
        <w:keepLines w:val="0"/>
        <w:pageBreakBefore w:val="0"/>
        <w:widowControl w:val="0"/>
        <w:kinsoku/>
        <w:wordWrap/>
        <w:overflowPunct/>
        <w:topLinePunct w:val="0"/>
        <w:autoSpaceDE/>
        <w:autoSpaceDN/>
        <w:bidi w:val="0"/>
        <w:adjustRightInd/>
        <w:snapToGrid/>
        <w:spacing w:line="600" w:lineRule="exact"/>
        <w:ind w:firstLine="680" w:firstLineChars="200"/>
        <w:textAlignment w:val="auto"/>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（此文有删减）</w:t>
      </w:r>
    </w:p>
    <w:p w14:paraId="55658095">
      <w:pPr>
        <w:pStyle w:val="5"/>
        <w:keepNext w:val="0"/>
        <w:keepLines w:val="0"/>
        <w:widowControl/>
        <w:suppressLineNumbers w:val="0"/>
        <w:spacing w:line="600" w:lineRule="atLeast"/>
        <w:ind w:left="0" w:firstLine="420"/>
        <w:jc w:val="right"/>
        <w:rPr>
          <w:rFonts w:hint="eastAsia"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河东区国资委  </w:t>
      </w:r>
    </w:p>
    <w:p w14:paraId="0FF2BB45">
      <w:pPr>
        <w:pStyle w:val="5"/>
        <w:keepNext w:val="0"/>
        <w:keepLines w:val="0"/>
        <w:widowControl/>
        <w:suppressLineNumbers w:val="0"/>
        <w:spacing w:line="600" w:lineRule="atLeast"/>
        <w:ind w:left="0" w:firstLine="420"/>
        <w:jc w:val="right"/>
        <w:rPr>
          <w:rFonts w:hint="default" w:ascii="仿宋_GB2312" w:hAnsi="仿宋_GB2312" w:eastAsia="仿宋_GB2312" w:cs="仿宋_GB2312"/>
          <w:kern w:val="2"/>
          <w:sz w:val="34"/>
          <w:szCs w:val="34"/>
          <w:lang w:val="en-US" w:eastAsia="zh-CN" w:bidi="ar-SA"/>
        </w:rPr>
      </w:pPr>
      <w:r>
        <w:rPr>
          <w:rFonts w:hint="eastAsia" w:ascii="仿宋_GB2312" w:hAnsi="仿宋_GB2312" w:eastAsia="仿宋_GB2312" w:cs="仿宋_GB2312"/>
          <w:kern w:val="2"/>
          <w:sz w:val="34"/>
          <w:szCs w:val="34"/>
          <w:lang w:val="en-US" w:eastAsia="zh-CN" w:bidi="ar-SA"/>
        </w:rPr>
        <w:t>2024年3月18日 </w:t>
      </w:r>
    </w:p>
    <w:p w14:paraId="73193116">
      <w:pPr>
        <w:pStyle w:val="3"/>
        <w:keepNext w:val="0"/>
        <w:keepLines w:val="0"/>
        <w:pageBreakBefore w:val="0"/>
        <w:widowControl w:val="0"/>
        <w:kinsoku/>
        <w:wordWrap/>
        <w:overflowPunct/>
        <w:topLinePunct w:val="0"/>
        <w:autoSpaceDE/>
        <w:autoSpaceDN/>
        <w:bidi w:val="0"/>
        <w:adjustRightInd/>
        <w:snapToGrid w:val="0"/>
        <w:spacing w:line="600" w:lineRule="exact"/>
        <w:ind w:firstLine="680" w:firstLineChars="200"/>
        <w:textAlignment w:val="auto"/>
        <w:rPr>
          <w:rFonts w:hint="default" w:ascii="仿宋_GB2312" w:hAnsi="仿宋_GB2312" w:eastAsia="仿宋_GB2312" w:cs="仿宋_GB2312"/>
          <w:kern w:val="2"/>
          <w:sz w:val="34"/>
          <w:szCs w:val="34"/>
          <w:lang w:val="en-US" w:eastAsia="zh-CN" w:bidi="ar-SA"/>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仿宋"/>
    <w:panose1 w:val="00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1" w:fontKey="{B190C278-EBC2-497C-B1F4-12E11B06586B}"/>
  </w:font>
  <w:font w:name="方正小标宋简体">
    <w:panose1 w:val="03000509000000000000"/>
    <w:charset w:val="86"/>
    <w:family w:val="auto"/>
    <w:pitch w:val="default"/>
    <w:sig w:usb0="00000001" w:usb1="080E0000" w:usb2="00000000" w:usb3="00000000" w:csb0="00040000" w:csb1="00000000"/>
    <w:embedRegular r:id="rId2" w:fontKey="{CCD003BD-1624-4E83-934F-B33D2D2D0BF9}"/>
  </w:font>
  <w:font w:name="楷体">
    <w:panose1 w:val="02010609060101010101"/>
    <w:charset w:val="86"/>
    <w:family w:val="auto"/>
    <w:pitch w:val="default"/>
    <w:sig w:usb0="800002BF" w:usb1="38CF7CFA" w:usb2="00000016" w:usb3="00000000" w:csb0="00040001" w:csb1="00000000"/>
    <w:embedRegular r:id="rId3" w:fontKey="{E80E1412-76B6-4DA0-94AB-6CCF3FD87706}"/>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D3B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D1EB4D">
                          <w:pPr>
                            <w:pStyle w:val="3"/>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D1EB4D">
                    <w:pPr>
                      <w:pStyle w:val="3"/>
                      <w:rPr>
                        <w:sz w:val="18"/>
                        <w:szCs w:val="18"/>
                      </w:rPr>
                    </w:pPr>
                    <w:r>
                      <w:rPr>
                        <w:sz w:val="18"/>
                        <w:szCs w:val="18"/>
                      </w:rPr>
                      <w:fldChar w:fldCharType="begin"/>
                    </w:r>
                    <w:r>
                      <w:rPr>
                        <w:sz w:val="18"/>
                        <w:szCs w:val="18"/>
                      </w:rPr>
                      <w:instrText xml:space="preserve"> PAGE  \* MERGEFORMAT </w:instrText>
                    </w:r>
                    <w:r>
                      <w:rPr>
                        <w:sz w:val="18"/>
                        <w:szCs w:val="18"/>
                      </w:rPr>
                      <w:fldChar w:fldCharType="separate"/>
                    </w:r>
                    <w:r>
                      <w:rPr>
                        <w:sz w:val="18"/>
                        <w:szCs w:val="18"/>
                      </w:rPr>
                      <w:t>1</w:t>
                    </w:r>
                    <w:r>
                      <w:rPr>
                        <w:sz w:val="18"/>
                        <w:szCs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yM2QxNGM0M2FhMDZhOTRmYWZlYThhMmJkOWVkN2UifQ=="/>
  </w:docVars>
  <w:rsids>
    <w:rsidRoot w:val="47923272"/>
    <w:rsid w:val="035C149E"/>
    <w:rsid w:val="07C05BA3"/>
    <w:rsid w:val="0BE43E2A"/>
    <w:rsid w:val="0DFC18FF"/>
    <w:rsid w:val="0F976562"/>
    <w:rsid w:val="0FCA78FF"/>
    <w:rsid w:val="11F43656"/>
    <w:rsid w:val="12DF0C66"/>
    <w:rsid w:val="13E56991"/>
    <w:rsid w:val="13F501A2"/>
    <w:rsid w:val="14877ABD"/>
    <w:rsid w:val="15BC31A1"/>
    <w:rsid w:val="15F07C5F"/>
    <w:rsid w:val="16CB1F15"/>
    <w:rsid w:val="17030806"/>
    <w:rsid w:val="173C78FC"/>
    <w:rsid w:val="19046C2C"/>
    <w:rsid w:val="19906B90"/>
    <w:rsid w:val="1A6051D7"/>
    <w:rsid w:val="1C33473D"/>
    <w:rsid w:val="1CBF74CF"/>
    <w:rsid w:val="1D2576CE"/>
    <w:rsid w:val="1DBC69B5"/>
    <w:rsid w:val="1DDE4B7D"/>
    <w:rsid w:val="1E645700"/>
    <w:rsid w:val="1E8D306C"/>
    <w:rsid w:val="1FB07B14"/>
    <w:rsid w:val="20B6593D"/>
    <w:rsid w:val="20CE2C87"/>
    <w:rsid w:val="21C422DC"/>
    <w:rsid w:val="23E66539"/>
    <w:rsid w:val="280F6EEF"/>
    <w:rsid w:val="2B62521D"/>
    <w:rsid w:val="2C7179C4"/>
    <w:rsid w:val="2ED04C56"/>
    <w:rsid w:val="32ED1980"/>
    <w:rsid w:val="343230D5"/>
    <w:rsid w:val="34D67F04"/>
    <w:rsid w:val="370C62A9"/>
    <w:rsid w:val="39D2559E"/>
    <w:rsid w:val="3A387F6E"/>
    <w:rsid w:val="3A560290"/>
    <w:rsid w:val="3BC92571"/>
    <w:rsid w:val="3BE43817"/>
    <w:rsid w:val="3DD516A1"/>
    <w:rsid w:val="3F632CDC"/>
    <w:rsid w:val="410B7BE0"/>
    <w:rsid w:val="420D0002"/>
    <w:rsid w:val="421729DE"/>
    <w:rsid w:val="431F6C79"/>
    <w:rsid w:val="464E32F6"/>
    <w:rsid w:val="47923272"/>
    <w:rsid w:val="4A7D4C52"/>
    <w:rsid w:val="4D43144A"/>
    <w:rsid w:val="4DFA4F1E"/>
    <w:rsid w:val="4FEE05B1"/>
    <w:rsid w:val="51954228"/>
    <w:rsid w:val="521D4F6D"/>
    <w:rsid w:val="530C3017"/>
    <w:rsid w:val="53B612AE"/>
    <w:rsid w:val="53CC4409"/>
    <w:rsid w:val="57671164"/>
    <w:rsid w:val="58EB2E7D"/>
    <w:rsid w:val="59C82457"/>
    <w:rsid w:val="5C170AD7"/>
    <w:rsid w:val="5CF521AE"/>
    <w:rsid w:val="5D1B022E"/>
    <w:rsid w:val="5E8230D2"/>
    <w:rsid w:val="5F4B136B"/>
    <w:rsid w:val="616404C2"/>
    <w:rsid w:val="64D75C8C"/>
    <w:rsid w:val="666822BF"/>
    <w:rsid w:val="66B90766"/>
    <w:rsid w:val="67CE7354"/>
    <w:rsid w:val="69EE59CA"/>
    <w:rsid w:val="6BF6265F"/>
    <w:rsid w:val="6FE078AE"/>
    <w:rsid w:val="703805DC"/>
    <w:rsid w:val="70544BEF"/>
    <w:rsid w:val="70983CE4"/>
    <w:rsid w:val="70B028CB"/>
    <w:rsid w:val="716B764B"/>
    <w:rsid w:val="724265FE"/>
    <w:rsid w:val="72762389"/>
    <w:rsid w:val="738F5872"/>
    <w:rsid w:val="752F5236"/>
    <w:rsid w:val="754E0E15"/>
    <w:rsid w:val="77B75421"/>
    <w:rsid w:val="795701D4"/>
    <w:rsid w:val="7A80166B"/>
    <w:rsid w:val="7B620B3F"/>
    <w:rsid w:val="7D006E99"/>
    <w:rsid w:val="7EB27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qFormat/>
    <w:uiPriority w:val="0"/>
    <w:rPr>
      <w:rFonts w:eastAsia="文星仿宋"/>
      <w:sz w:val="32"/>
    </w:rPr>
  </w:style>
  <w:style w:type="paragraph" w:styleId="3">
    <w:name w:val="footer"/>
    <w:basedOn w:val="1"/>
    <w:autoRedefine/>
    <w:qFormat/>
    <w:uiPriority w:val="99"/>
    <w:pPr>
      <w:tabs>
        <w:tab w:val="center" w:pos="4153"/>
        <w:tab w:val="right" w:pos="8306"/>
      </w:tabs>
      <w:snapToGrid w:val="0"/>
    </w:pPr>
    <w:rPr>
      <w:sz w:val="18"/>
      <w:szCs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autoRedefine/>
    <w:qFormat/>
    <w:uiPriority w:val="0"/>
    <w:pPr>
      <w:spacing w:line="500" w:lineRule="exact"/>
      <w:ind w:firstLine="420"/>
    </w:pPr>
    <w:rPr>
      <w:sz w:val="28"/>
      <w:szCs w:val="20"/>
    </w:rPr>
  </w:style>
  <w:style w:type="paragraph" w:styleId="7">
    <w:name w:val="Body Text First Indent 2"/>
    <w:basedOn w:val="1"/>
    <w:qFormat/>
    <w:uiPriority w:val="99"/>
    <w:pPr>
      <w:ind w:firstLine="420" w:firstLineChars="200"/>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674</Words>
  <Characters>683</Characters>
  <Lines>0</Lines>
  <Paragraphs>0</Paragraphs>
  <TotalTime>1</TotalTime>
  <ScaleCrop>false</ScaleCrop>
  <LinksUpToDate>false</LinksUpToDate>
  <CharactersWithSpaces>685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2024-02-08T01:30:00Z</dcterms:created>
  <dc:creator>薛之睿</dc:creator>
  <cp:lastModifiedBy>薛之睿</cp:lastModifiedBy>
  <cp:lastPrinted>2024-03-13T09:19:00Z</cp:lastPrinted>
  <dcterms:modified xsi:type="dcterms:W3CDTF">2025-03-19T06:09:33Z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DE83B1DAE51342B389B7E24232B2FF67_13</vt:lpwstr>
  </property>
  <property fmtid="{D5CDD505-2E9C-101B-9397-08002B2CF9AE}" pid="4" name="KSOTemplateDocerSaveRecord">
    <vt:lpwstr>eyJoZGlkIjoiODAyM2QxNGM0M2FhMDZhOTRmYWZlYThhMmJkOWVkN2UiLCJ1c2VySWQiOiI0MTQ3MzQzOTEifQ==</vt:lpwstr>
  </property>
</Properties>
</file>