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902" w:tblpY="362"/>
        <w:tblOverlap w:val="never"/>
        <w:tblW w:w="14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357"/>
        <w:gridCol w:w="495"/>
        <w:gridCol w:w="6052"/>
        <w:gridCol w:w="1208"/>
        <w:gridCol w:w="4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14846"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天</w:t>
            </w:r>
            <w:r>
              <w:rPr>
                <w:rFonts w:hint="default" w:ascii="方正小标宋简体" w:hAnsi="方正小标宋简体" w:eastAsia="方正小标宋简体" w:cs="方正小标宋简体"/>
                <w:i w:val="0"/>
                <w:iCs w:val="0"/>
                <w:color w:val="000000"/>
                <w:kern w:val="0"/>
                <w:sz w:val="36"/>
                <w:szCs w:val="36"/>
                <w:u w:val="none"/>
                <w:lang w:eastAsia="zh-CN" w:bidi="ar"/>
              </w:rPr>
              <w:t>津市</w:t>
            </w:r>
            <w:r>
              <w:rPr>
                <w:rFonts w:hint="eastAsia" w:ascii="方正小标宋简体" w:hAnsi="方正小标宋简体" w:eastAsia="方正小标宋简体" w:cs="方正小标宋简体"/>
                <w:i w:val="0"/>
                <w:iCs w:val="0"/>
                <w:color w:val="000000"/>
                <w:kern w:val="0"/>
                <w:sz w:val="36"/>
                <w:szCs w:val="36"/>
                <w:u w:val="none"/>
                <w:lang w:val="en-US" w:eastAsia="zh-CN" w:bidi="ar"/>
              </w:rPr>
              <w:t>进一步复制推广营商环境创新试点改革举措的若干措施河东区任务清单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6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具体举措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开展“一照多址”改革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1</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eastAsia="zh-CN" w:bidi="ar"/>
              </w:rPr>
              <w:t>除直接涉及公共安全和人民群众生命健康的领域外</w:t>
            </w:r>
            <w:r>
              <w:rPr>
                <w:rFonts w:hint="eastAsia" w:ascii="仿宋_GB2312" w:hAnsi="宋体" w:eastAsia="仿宋_GB2312" w:cs="仿宋_GB2312"/>
                <w:i w:val="0"/>
                <w:iCs w:val="0"/>
                <w:color w:val="000000"/>
                <w:kern w:val="0"/>
                <w:sz w:val="22"/>
                <w:szCs w:val="22"/>
                <w:highlight w:val="none"/>
                <w:u w:val="none"/>
                <w:lang w:val="en-US" w:eastAsia="zh-CN" w:bidi="ar"/>
              </w:rPr>
              <w:t>，在住所（经营场所）以外的本市区域内有多个符合规定的实际经营场所的，允许企业申报多址信息备案，免于分支机构登记</w:t>
            </w:r>
            <w:r>
              <w:rPr>
                <w:rFonts w:hint="eastAsia" w:ascii="仿宋_GB2312" w:hAnsi="宋体" w:eastAsia="仿宋_GB2312" w:cs="仿宋_GB2312"/>
                <w:color w:val="000000"/>
                <w:kern w:val="0"/>
                <w:sz w:val="22"/>
                <w:szCs w:val="22"/>
                <w:highlight w:val="none"/>
                <w:u w:val="none"/>
                <w:lang w:bidi="ar"/>
              </w:rPr>
              <w:t>，在营业执照增加存在多址信息标注。</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区市场监管局</w:t>
            </w:r>
          </w:p>
        </w:tc>
        <w:tc>
          <w:tcPr>
            <w:tcW w:w="49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落实《天津市市场主体住所（经营场所）登记管理办法》（津政办规〔2020〕14号），为企业办理“一照多址”登记。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2</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改革后，通过天津市市场主体信用信息公示系统对“一照多址”企业的多址信息进行公示，依据《企业经营异常名录管理暂行办法》对备案的经营场所实施经营异常名录管理。</w:t>
            </w: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494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7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3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便利企业分支机构、连锁门店信息变更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3</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大型企业分支机构办理不涉及新办许可证的信息变更时，实行集中统一办理。</w:t>
            </w:r>
          </w:p>
        </w:tc>
        <w:tc>
          <w:tcPr>
            <w:tcW w:w="120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区市场监管局</w:t>
            </w:r>
          </w:p>
        </w:tc>
        <w:tc>
          <w:tcPr>
            <w:tcW w:w="49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大型连锁企业分支机构变更登记，由市市场监管委统一发布团体化办理业务指导，各登记机关依职权办理，实现不涉及新办许可证的信息变更集中统一办理。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357"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highlight w:val="none"/>
                <w:u w:val="none"/>
                <w:lang w:eastAsia="zh-CN" w:bidi="ar"/>
              </w:rPr>
            </w:pPr>
            <w:r>
              <w:rPr>
                <w:rFonts w:hint="default" w:ascii="Times New Roman" w:hAnsi="Times New Roman" w:eastAsia="仿宋_GB2312" w:cs="Times New Roman"/>
                <w:i w:val="0"/>
                <w:iCs w:val="0"/>
                <w:color w:val="000000"/>
                <w:kern w:val="0"/>
                <w:sz w:val="22"/>
                <w:szCs w:val="22"/>
                <w:highlight w:val="none"/>
                <w:u w:val="none"/>
                <w:lang w:eastAsia="zh-CN" w:bidi="ar"/>
              </w:rPr>
              <w:t>4</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color w:val="000000"/>
                <w:kern w:val="0"/>
                <w:sz w:val="22"/>
                <w:szCs w:val="22"/>
                <w:highlight w:val="none"/>
                <w:u w:val="none"/>
                <w:lang w:bidi="ar"/>
              </w:rPr>
              <w:t>改革后，加强登记事项监管，依法查处违反登记管理法律法规的行为。</w:t>
            </w:r>
          </w:p>
        </w:tc>
        <w:tc>
          <w:tcPr>
            <w:tcW w:w="1208"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4943"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3</w:t>
            </w:r>
          </w:p>
        </w:tc>
        <w:tc>
          <w:tcPr>
            <w:tcW w:w="135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企业住所（经营场所）标准化登记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5</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加强市场监管与规划资源、公安等部门信息共享，推行市场主体登记时通过信息核验自动带入标准地址，实现市场主体住所（经营场所）标准化登记</w:t>
            </w:r>
            <w:r>
              <w:rPr>
                <w:rFonts w:hint="eastAsia" w:ascii="仿宋_GB2312" w:hAnsi="宋体" w:eastAsia="仿宋_GB2312" w:cs="仿宋_GB2312"/>
                <w:color w:val="000000"/>
                <w:kern w:val="0"/>
                <w:sz w:val="22"/>
                <w:szCs w:val="22"/>
                <w:highlight w:val="none"/>
                <w:u w:val="none"/>
                <w:lang w:bidi="ar"/>
              </w:rPr>
              <w:t>，并</w:t>
            </w:r>
            <w:r>
              <w:rPr>
                <w:rFonts w:hint="default" w:ascii="仿宋_GB2312" w:hAnsi="宋体" w:eastAsia="仿宋_GB2312" w:cs="仿宋_GB2312"/>
                <w:color w:val="000000"/>
                <w:kern w:val="0"/>
                <w:sz w:val="22"/>
                <w:szCs w:val="22"/>
                <w:highlight w:val="none"/>
                <w:u w:val="none"/>
                <w:lang w:bidi="ar"/>
              </w:rPr>
              <w:t>在</w:t>
            </w:r>
            <w:r>
              <w:rPr>
                <w:rFonts w:hint="eastAsia" w:ascii="仿宋_GB2312" w:hAnsi="宋体" w:eastAsia="仿宋_GB2312" w:cs="仿宋_GB2312"/>
                <w:color w:val="000000"/>
                <w:kern w:val="0"/>
                <w:sz w:val="22"/>
                <w:szCs w:val="22"/>
                <w:highlight w:val="none"/>
                <w:u w:val="none"/>
                <w:lang w:bidi="ar"/>
              </w:rPr>
              <w:t>营业执照住所信息后添加“已核验”标记，通过企业公示系统予以公示</w:t>
            </w:r>
            <w:r>
              <w:rPr>
                <w:rFonts w:hint="eastAsia" w:ascii="仿宋_GB2312" w:hAnsi="宋体" w:eastAsia="仿宋_GB2312" w:cs="仿宋_GB2312"/>
                <w:i w:val="0"/>
                <w:iCs w:val="0"/>
                <w:color w:val="000000"/>
                <w:kern w:val="0"/>
                <w:sz w:val="22"/>
                <w:szCs w:val="22"/>
                <w:highlight w:val="none"/>
                <w:u w:val="none"/>
                <w:lang w:val="en-US" w:eastAsia="zh-CN" w:bidi="ar"/>
              </w:rPr>
              <w:t>。</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区市场监管局</w:t>
            </w:r>
          </w:p>
        </w:tc>
        <w:tc>
          <w:tcPr>
            <w:tcW w:w="49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1.区市场监管加强与规划河东分局、公安河东分局等部门信息共享，</w:t>
            </w:r>
            <w:r>
              <w:rPr>
                <w:rFonts w:hint="eastAsia" w:ascii="仿宋_GB2312" w:hAnsi="宋体" w:eastAsia="仿宋_GB2312" w:cs="仿宋_GB2312"/>
                <w:i w:val="0"/>
                <w:iCs w:val="0"/>
                <w:color w:val="000000"/>
                <w:kern w:val="0"/>
                <w:sz w:val="22"/>
                <w:szCs w:val="22"/>
                <w:u w:val="none"/>
                <w:lang w:val="en-US" w:eastAsia="zh-CN" w:bidi="ar"/>
              </w:rPr>
              <w:t>申请人在办理市场主体登记时自愿选择是否核验企业住所（经营场所）信息，通过核验的</w:t>
            </w:r>
            <w:r>
              <w:rPr>
                <w:rFonts w:hint="default" w:ascii="仿宋_GB2312" w:hAnsi="宋体" w:eastAsia="仿宋_GB2312" w:cs="仿宋_GB2312"/>
                <w:color w:val="000000"/>
                <w:kern w:val="0"/>
                <w:sz w:val="22"/>
                <w:szCs w:val="22"/>
                <w:highlight w:val="none"/>
                <w:u w:val="none"/>
                <w:lang w:bidi="ar"/>
              </w:rPr>
              <w:t>在</w:t>
            </w:r>
            <w:r>
              <w:rPr>
                <w:rFonts w:hint="eastAsia" w:ascii="仿宋_GB2312" w:hAnsi="宋体" w:eastAsia="仿宋_GB2312" w:cs="仿宋_GB2312"/>
                <w:color w:val="000000"/>
                <w:kern w:val="0"/>
                <w:sz w:val="22"/>
                <w:szCs w:val="22"/>
                <w:highlight w:val="none"/>
                <w:u w:val="none"/>
                <w:lang w:bidi="ar"/>
              </w:rPr>
              <w:t>营业执照住所信息后添加“已核验”标</w:t>
            </w:r>
            <w:r>
              <w:rPr>
                <w:rFonts w:hint="eastAsia" w:ascii="仿宋_GB2312" w:hAnsi="宋体" w:eastAsia="仿宋_GB2312" w:cs="仿宋_GB2312"/>
                <w:i w:val="0"/>
                <w:iCs w:val="0"/>
                <w:color w:val="000000"/>
                <w:kern w:val="0"/>
                <w:sz w:val="22"/>
                <w:szCs w:val="22"/>
                <w:u w:val="none"/>
                <w:lang w:val="en-US" w:eastAsia="zh-CN" w:bidi="ar"/>
              </w:rPr>
              <w:t>记。</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2.加强宣传，引导企业选择标准化登记，进一步推动我区市场主体住所（经营场所）标准化登记工作开展。</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B0F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3.加强日常监管，对虚假住所等情况列入经营异常名录并向社会公示。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9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135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highlight w:val="none"/>
                <w:u w:val="none"/>
              </w:rPr>
            </w:pP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6</w:t>
            </w:r>
          </w:p>
        </w:tc>
        <w:tc>
          <w:tcPr>
            <w:tcW w:w="6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color w:val="auto"/>
                <w:kern w:val="0"/>
                <w:sz w:val="22"/>
                <w:szCs w:val="22"/>
                <w:highlight w:val="none"/>
                <w:u w:val="none"/>
                <w:lang w:bidi="ar"/>
              </w:rPr>
              <w:t>改革后，申请人隐瞒有关情况或者提供虚假材料获得经营资格，依法予以查处。对通过登记的住所或者经营场所无法联系以及企业信息隐瞒真实情况弄虚作假等情形的企业列入经营异常名录并向社会公示。</w:t>
            </w:r>
          </w:p>
        </w:tc>
        <w:tc>
          <w:tcPr>
            <w:tcW w:w="120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494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4</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推行水电气暖等市政接入工程涉及的行政审批在线并联办理</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7</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落实市政公用服务设施接入工程并联审批、信息共享审批机制，对供电、供水、供气、供暖等市政接入工程涉及的建设工程规划许可、绿化许可、涉路施工许可等实行全程在线并联办理，对符合条件的市政接入工程审批实行告知承诺管理。</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区政务服务办</w:t>
            </w:r>
          </w:p>
        </w:tc>
        <w:tc>
          <w:tcPr>
            <w:tcW w:w="494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1.项目专班提升服务水平，建立年度项目清单。2.</w:t>
            </w:r>
            <w:r>
              <w:rPr>
                <w:rFonts w:hint="eastAsia" w:ascii="仿宋_GB2312" w:hAnsi="宋体" w:eastAsia="仿宋_GB2312" w:cs="仿宋_GB2312"/>
                <w:i w:val="0"/>
                <w:iCs w:val="0"/>
                <w:color w:val="000000"/>
                <w:kern w:val="0"/>
                <w:sz w:val="22"/>
                <w:szCs w:val="22"/>
                <w:highlight w:val="none"/>
                <w:u w:val="none"/>
                <w:lang w:val="en-US" w:eastAsia="zh-CN" w:bidi="ar"/>
              </w:rPr>
              <w:t>对供电、供水、供气、供暖等市政接入工程涉及的建设工程规划许可、绿化许可、涉路施工许可等能够并联审批的实行全程在线并联办理，帮助项目加速落地。</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3.广泛宣传告知承诺审批，对能够通过事中事后监管纠正且风险可控的推行告知承诺审批。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highlight w:val="none"/>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8</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改革后，有关部门加强抽查核验力度，对虚假承诺、违反承诺等行为实行惩戒。</w:t>
            </w: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c>
          <w:tcPr>
            <w:tcW w:w="494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5</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highlight w:val="none"/>
                <w:u w:val="none"/>
              </w:rPr>
            </w:pPr>
            <w:r>
              <w:rPr>
                <w:rStyle w:val="16"/>
                <w:rFonts w:hAnsi="仿宋_GB2312"/>
                <w:highlight w:val="none"/>
                <w:lang w:val="en-US" w:eastAsia="zh-CN" w:bidi="ar"/>
              </w:rPr>
              <w:t>开展联合验收</w:t>
            </w:r>
            <w:r>
              <w:rPr>
                <w:rStyle w:val="17"/>
                <w:rFonts w:hint="eastAsia" w:ascii="仿宋_GB2312" w:hAnsi="仿宋_GB2312" w:eastAsia="仿宋_GB2312" w:cs="仿宋_GB2312"/>
                <w:highlight w:val="none"/>
                <w:lang w:val="en-US" w:eastAsia="zh-CN" w:bidi="ar"/>
              </w:rPr>
              <w:t>“</w:t>
            </w:r>
            <w:r>
              <w:rPr>
                <w:rStyle w:val="16"/>
                <w:rFonts w:hAnsi="仿宋_GB2312"/>
                <w:highlight w:val="none"/>
                <w:lang w:val="en-US" w:eastAsia="zh-CN" w:bidi="ar"/>
              </w:rPr>
              <w:t>一口受理</w:t>
            </w:r>
            <w:r>
              <w:rPr>
                <w:rStyle w:val="17"/>
                <w:rFonts w:hint="eastAsia" w:ascii="仿宋_GB2312" w:hAnsi="仿宋_GB2312" w:eastAsia="仿宋_GB2312" w:cs="仿宋_GB2312"/>
                <w:highlight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9</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深入开展联合验收“一口受理”，由市、区两级住房城乡建设主管部门牵头协调有关单位限时开展联合验收，避免建设单位反复与多个政府部门沟通协调。</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区住建委</w:t>
            </w:r>
          </w:p>
        </w:tc>
        <w:tc>
          <w:tcPr>
            <w:tcW w:w="494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1.按照市联合验收文件执行，严格执行</w:t>
            </w:r>
            <w:r>
              <w:rPr>
                <w:rFonts w:hint="eastAsia" w:ascii="仿宋_GB2312" w:hAnsi="宋体" w:eastAsia="仿宋_GB2312" w:cs="仿宋_GB2312"/>
                <w:i w:val="0"/>
                <w:iCs w:val="0"/>
                <w:color w:val="auto"/>
                <w:kern w:val="0"/>
                <w:sz w:val="22"/>
                <w:szCs w:val="22"/>
                <w:highlight w:val="none"/>
                <w:u w:val="none"/>
                <w:lang w:val="en-US" w:eastAsia="zh-CN" w:bidi="ar"/>
              </w:rPr>
              <w:t>联合验收“一口受理”，省去建设单位与多部门沟通的程序，节省建设单位时间成本。</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2.一口收件后，组织联合验收涉及部门对资料进行审验，加强事中事后监管。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791"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135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highlight w:val="none"/>
                <w:u w:val="none"/>
              </w:rPr>
            </w:pPr>
          </w:p>
        </w:tc>
        <w:tc>
          <w:tcPr>
            <w:tcW w:w="4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10</w:t>
            </w:r>
          </w:p>
        </w:tc>
        <w:tc>
          <w:tcPr>
            <w:tcW w:w="60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改革后，有关部门做好联合验收资料核验，加强事中事后监管。</w:t>
            </w:r>
          </w:p>
        </w:tc>
        <w:tc>
          <w:tcPr>
            <w:tcW w:w="1208"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c>
          <w:tcPr>
            <w:tcW w:w="4943"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6</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进一步优化工程建设项目联合验收方式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11</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持续优化联合验收流程，将规划验收、人防备案、消防验收、消防备案</w:t>
            </w:r>
            <w:r>
              <w:rPr>
                <w:rFonts w:hint="default" w:ascii="仿宋_GB2312" w:hAnsi="宋体" w:eastAsia="仿宋_GB2312" w:cs="仿宋_GB2312"/>
                <w:i w:val="0"/>
                <w:iCs w:val="0"/>
                <w:color w:val="000000"/>
                <w:kern w:val="0"/>
                <w:sz w:val="22"/>
                <w:szCs w:val="22"/>
                <w:highlight w:val="none"/>
                <w:u w:val="none"/>
                <w:lang w:eastAsia="zh-CN" w:bidi="ar"/>
              </w:rPr>
              <w:t>、竣工备案</w:t>
            </w:r>
            <w:r>
              <w:rPr>
                <w:rFonts w:hint="eastAsia" w:ascii="仿宋_GB2312" w:hAnsi="宋体" w:eastAsia="仿宋_GB2312" w:cs="仿宋_GB2312"/>
                <w:i w:val="0"/>
                <w:iCs w:val="0"/>
                <w:color w:val="000000"/>
                <w:kern w:val="0"/>
                <w:sz w:val="22"/>
                <w:szCs w:val="22"/>
                <w:highlight w:val="none"/>
                <w:u w:val="none"/>
                <w:lang w:val="en-US" w:eastAsia="zh-CN" w:bidi="ar"/>
              </w:rPr>
              <w:t>纳入联合验收，其他验收事项可依据建设单位申请并行办理。对实行联合验收的工程建设项目，实行“两验终验制”的原则，对验收时发现的问题牵头部门组织相关业务部门开展帮办服务，及时督促建设单位整改。</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区住建委</w:t>
            </w:r>
          </w:p>
        </w:tc>
        <w:tc>
          <w:tcPr>
            <w:tcW w:w="49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1.在联合验收进行方式上持续做好联合验收申请的灵活程度，对于满足验收条件的验收申请，均第一时间组织验收工作。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2.对于可纳入联合验收范围的验收事项，一律实行联合验收，为企业节省办事时间，缩短办事流程。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12</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改革后，有关部门跟踪督办联合验收落实情况，避免体外循环、提前强制预审等不规范行为。</w:t>
            </w: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c>
          <w:tcPr>
            <w:tcW w:w="494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7</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对已满足使用功能的单位工程开展单独竣工验收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13</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color w:val="000000"/>
                <w:kern w:val="0"/>
                <w:sz w:val="22"/>
                <w:szCs w:val="22"/>
                <w:highlight w:val="none"/>
                <w:u w:val="none"/>
                <w:lang w:bidi="ar"/>
              </w:rPr>
              <w:t>持续做好单位工程竣工验收工作</w:t>
            </w:r>
            <w:r>
              <w:rPr>
                <w:rFonts w:hint="eastAsia" w:ascii="仿宋_GB2312" w:hAnsi="宋体" w:eastAsia="仿宋_GB2312" w:cs="仿宋_GB2312"/>
                <w:color w:val="000000"/>
                <w:kern w:val="0"/>
                <w:sz w:val="22"/>
                <w:szCs w:val="22"/>
                <w:highlight w:val="none"/>
                <w:u w:val="none"/>
                <w:lang w:eastAsia="zh-CN" w:bidi="ar"/>
              </w:rPr>
              <w:t>，</w:t>
            </w:r>
            <w:r>
              <w:rPr>
                <w:rFonts w:hint="eastAsia" w:ascii="仿宋_GB2312" w:hAnsi="宋体" w:eastAsia="仿宋_GB2312" w:cs="仿宋_GB2312"/>
                <w:color w:val="000000"/>
                <w:kern w:val="0"/>
                <w:sz w:val="22"/>
                <w:szCs w:val="22"/>
                <w:highlight w:val="none"/>
                <w:u w:val="none"/>
                <w:lang w:bidi="ar"/>
              </w:rPr>
              <w:t>严格执行房屋建筑工程质量阶段验收和竣工验收</w:t>
            </w:r>
            <w:r>
              <w:rPr>
                <w:rFonts w:hint="eastAsia" w:ascii="仿宋_GB2312" w:hAnsi="宋体" w:eastAsia="仿宋_GB2312" w:cs="仿宋_GB2312"/>
                <w:color w:val="000000"/>
                <w:kern w:val="0"/>
                <w:sz w:val="22"/>
                <w:szCs w:val="22"/>
                <w:highlight w:val="none"/>
                <w:u w:val="none"/>
                <w:lang w:val="en-US" w:eastAsia="zh-CN" w:bidi="ar"/>
              </w:rPr>
              <w:t>有关</w:t>
            </w:r>
            <w:r>
              <w:rPr>
                <w:rFonts w:hint="eastAsia" w:ascii="仿宋_GB2312" w:hAnsi="宋体" w:eastAsia="仿宋_GB2312" w:cs="仿宋_GB2312"/>
                <w:color w:val="000000"/>
                <w:kern w:val="0"/>
                <w:sz w:val="22"/>
                <w:szCs w:val="22"/>
                <w:highlight w:val="none"/>
                <w:u w:val="none"/>
                <w:lang w:bidi="ar"/>
              </w:rPr>
              <w:t>规定，完成施工图设计文件和合同约定的内容，符合工程质量</w:t>
            </w:r>
            <w:r>
              <w:rPr>
                <w:rFonts w:hint="default" w:ascii="仿宋_GB2312" w:hAnsi="宋体" w:eastAsia="仿宋_GB2312" w:cs="仿宋_GB2312"/>
                <w:color w:val="000000"/>
                <w:kern w:val="0"/>
                <w:sz w:val="22"/>
                <w:szCs w:val="22"/>
                <w:highlight w:val="none"/>
                <w:u w:val="none"/>
                <w:lang w:bidi="ar"/>
              </w:rPr>
              <w:t>安全</w:t>
            </w:r>
            <w:r>
              <w:rPr>
                <w:rFonts w:hint="eastAsia" w:ascii="仿宋_GB2312" w:hAnsi="宋体" w:eastAsia="仿宋_GB2312" w:cs="仿宋_GB2312"/>
                <w:color w:val="000000"/>
                <w:kern w:val="0"/>
                <w:sz w:val="22"/>
                <w:szCs w:val="22"/>
                <w:highlight w:val="none"/>
                <w:u w:val="none"/>
                <w:lang w:bidi="ar"/>
              </w:rPr>
              <w:t>要求、达到安全使用条件、满足使用功能、具备竣工验收条件的单位工程可采用单独竣工验收方式，单位工程验收合格后，可单独投入使用。</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区住建委</w:t>
            </w:r>
          </w:p>
        </w:tc>
        <w:tc>
          <w:tcPr>
            <w:tcW w:w="49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color w:val="auto"/>
                <w:kern w:val="0"/>
                <w:sz w:val="22"/>
                <w:szCs w:val="22"/>
                <w:highlight w:val="none"/>
                <w:u w:val="none"/>
                <w:lang w:bidi="ar"/>
              </w:rPr>
            </w:pPr>
            <w:r>
              <w:rPr>
                <w:rFonts w:hint="eastAsia" w:ascii="仿宋_GB2312" w:hAnsi="宋体" w:eastAsia="仿宋_GB2312" w:cs="仿宋_GB2312"/>
                <w:color w:val="auto"/>
                <w:kern w:val="0"/>
                <w:sz w:val="22"/>
                <w:szCs w:val="22"/>
                <w:highlight w:val="none"/>
                <w:u w:val="none"/>
                <w:lang w:val="en-US" w:eastAsia="zh-CN" w:bidi="ar"/>
              </w:rPr>
              <w:t>1.</w:t>
            </w:r>
            <w:r>
              <w:rPr>
                <w:rFonts w:hint="eastAsia" w:ascii="仿宋_GB2312" w:hAnsi="宋体" w:eastAsia="仿宋_GB2312" w:cs="仿宋_GB2312"/>
                <w:color w:val="auto"/>
                <w:kern w:val="0"/>
                <w:sz w:val="22"/>
                <w:szCs w:val="22"/>
                <w:highlight w:val="none"/>
                <w:u w:val="none"/>
                <w:lang w:eastAsia="zh-CN" w:bidi="ar"/>
              </w:rPr>
              <w:t>按照</w:t>
            </w:r>
            <w:r>
              <w:rPr>
                <w:rFonts w:hint="eastAsia" w:ascii="仿宋_GB2312" w:hAnsi="宋体" w:eastAsia="仿宋_GB2312" w:cs="仿宋_GB2312"/>
                <w:color w:val="auto"/>
                <w:kern w:val="0"/>
                <w:sz w:val="22"/>
                <w:szCs w:val="22"/>
                <w:highlight w:val="none"/>
                <w:u w:val="none"/>
                <w:lang w:bidi="ar"/>
              </w:rPr>
              <w:t>房屋建筑工程质量阶段验收和竣工验收</w:t>
            </w:r>
            <w:r>
              <w:rPr>
                <w:rFonts w:hint="eastAsia" w:ascii="仿宋_GB2312" w:hAnsi="宋体" w:eastAsia="仿宋_GB2312" w:cs="仿宋_GB2312"/>
                <w:color w:val="auto"/>
                <w:kern w:val="0"/>
                <w:sz w:val="22"/>
                <w:szCs w:val="22"/>
                <w:highlight w:val="none"/>
                <w:u w:val="none"/>
                <w:lang w:val="en-US" w:eastAsia="zh-CN" w:bidi="ar"/>
              </w:rPr>
              <w:t>有关</w:t>
            </w:r>
            <w:r>
              <w:rPr>
                <w:rFonts w:hint="eastAsia" w:ascii="仿宋_GB2312" w:hAnsi="宋体" w:eastAsia="仿宋_GB2312" w:cs="仿宋_GB2312"/>
                <w:color w:val="auto"/>
                <w:kern w:val="0"/>
                <w:sz w:val="22"/>
                <w:szCs w:val="22"/>
                <w:highlight w:val="none"/>
                <w:u w:val="none"/>
                <w:lang w:bidi="ar"/>
              </w:rPr>
              <w:t>规定</w:t>
            </w:r>
            <w:r>
              <w:rPr>
                <w:rFonts w:hint="eastAsia" w:ascii="仿宋_GB2312" w:hAnsi="宋体" w:eastAsia="仿宋_GB2312" w:cs="仿宋_GB2312"/>
                <w:color w:val="auto"/>
                <w:kern w:val="0"/>
                <w:sz w:val="22"/>
                <w:szCs w:val="22"/>
                <w:highlight w:val="none"/>
                <w:u w:val="none"/>
                <w:lang w:eastAsia="zh-CN" w:bidi="ar"/>
              </w:rPr>
              <w:t>，对于符合验收条件的项目，区住建委协调相关验收部门，按照单位工程进行验收，</w:t>
            </w:r>
            <w:r>
              <w:rPr>
                <w:rFonts w:hint="eastAsia" w:ascii="仿宋_GB2312" w:hAnsi="宋体" w:eastAsia="仿宋_GB2312" w:cs="仿宋_GB2312"/>
                <w:color w:val="auto"/>
                <w:kern w:val="0"/>
                <w:sz w:val="22"/>
                <w:szCs w:val="22"/>
                <w:highlight w:val="none"/>
                <w:u w:val="none"/>
                <w:lang w:bidi="ar"/>
              </w:rPr>
              <w:t>单位工程验收合格后，可单独投入使用。</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color w:val="auto"/>
                <w:kern w:val="0"/>
                <w:sz w:val="22"/>
                <w:szCs w:val="2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color w:val="000000"/>
                <w:kern w:val="2"/>
                <w:sz w:val="22"/>
                <w:szCs w:val="22"/>
                <w:u w:val="none"/>
                <w:lang w:val="en-US" w:eastAsia="zh-CN" w:bidi="ar"/>
              </w:rPr>
            </w:pPr>
            <w:r>
              <w:rPr>
                <w:rFonts w:hint="eastAsia" w:ascii="仿宋_GB2312" w:hAnsi="宋体" w:eastAsia="仿宋_GB2312" w:cs="仿宋_GB2312"/>
                <w:color w:val="auto"/>
                <w:kern w:val="0"/>
                <w:sz w:val="22"/>
                <w:szCs w:val="22"/>
                <w:highlight w:val="none"/>
                <w:u w:val="none"/>
                <w:lang w:val="en-US" w:eastAsia="zh-CN" w:bidi="ar"/>
              </w:rPr>
              <w:t>2.</w:t>
            </w:r>
            <w:r>
              <w:rPr>
                <w:rFonts w:hint="eastAsia" w:ascii="仿宋_GB2312" w:hAnsi="宋体" w:eastAsia="仿宋_GB2312" w:cs="仿宋_GB2312"/>
                <w:color w:val="auto"/>
                <w:kern w:val="0"/>
                <w:sz w:val="22"/>
                <w:szCs w:val="22"/>
                <w:highlight w:val="none"/>
                <w:u w:val="none"/>
                <w:lang w:eastAsia="zh-CN" w:bidi="ar"/>
              </w:rPr>
              <w:t>对验收程序行为进行严格执法监管，遇到违法违规问题第一时间责令整改，严重问题立案查处。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14</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改革后，市</w:t>
            </w:r>
            <w:r>
              <w:rPr>
                <w:rFonts w:hint="default" w:ascii="仿宋_GB2312" w:hAnsi="宋体" w:eastAsia="仿宋_GB2312" w:cs="仿宋_GB2312"/>
                <w:i w:val="0"/>
                <w:iCs w:val="0"/>
                <w:color w:val="000000"/>
                <w:kern w:val="0"/>
                <w:sz w:val="22"/>
                <w:szCs w:val="22"/>
                <w:highlight w:val="none"/>
                <w:u w:val="none"/>
                <w:lang w:eastAsia="zh-CN" w:bidi="ar"/>
              </w:rPr>
              <w:t>、</w:t>
            </w:r>
            <w:r>
              <w:rPr>
                <w:rFonts w:hint="eastAsia" w:ascii="仿宋_GB2312" w:hAnsi="宋体" w:eastAsia="仿宋_GB2312" w:cs="仿宋_GB2312"/>
                <w:i w:val="0"/>
                <w:iCs w:val="0"/>
                <w:color w:val="000000"/>
                <w:kern w:val="0"/>
                <w:sz w:val="22"/>
                <w:szCs w:val="22"/>
                <w:highlight w:val="none"/>
                <w:u w:val="none"/>
                <w:lang w:val="en-US" w:eastAsia="zh-CN" w:bidi="ar"/>
              </w:rPr>
              <w:t>区</w:t>
            </w:r>
            <w:r>
              <w:rPr>
                <w:rFonts w:hint="default" w:ascii="仿宋_GB2312" w:hAnsi="宋体" w:eastAsia="仿宋_GB2312" w:cs="仿宋_GB2312"/>
                <w:i w:val="0"/>
                <w:iCs w:val="0"/>
                <w:color w:val="000000"/>
                <w:kern w:val="0"/>
                <w:sz w:val="22"/>
                <w:szCs w:val="22"/>
                <w:highlight w:val="none"/>
                <w:u w:val="none"/>
                <w:lang w:eastAsia="zh-CN" w:bidi="ar"/>
              </w:rPr>
              <w:t>两级有关</w:t>
            </w:r>
            <w:r>
              <w:rPr>
                <w:rFonts w:hint="eastAsia" w:ascii="仿宋_GB2312" w:hAnsi="宋体" w:eastAsia="仿宋_GB2312" w:cs="仿宋_GB2312"/>
                <w:i w:val="0"/>
                <w:iCs w:val="0"/>
                <w:color w:val="000000"/>
                <w:kern w:val="0"/>
                <w:sz w:val="22"/>
                <w:szCs w:val="22"/>
                <w:highlight w:val="none"/>
                <w:u w:val="none"/>
                <w:lang w:val="en-US" w:eastAsia="zh-CN" w:bidi="ar"/>
              </w:rPr>
              <w:t>执法部门对工程质量阶段验收进行抽查，对工程竣工验收进行监督，发现有违反工程质量管理规定行为的，责令改正。</w:t>
            </w: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c>
          <w:tcPr>
            <w:tcW w:w="494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8</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在部分领域建立完善综合监管机制</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15</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落实《天津市加油站空间布局规</w:t>
            </w:r>
            <w:r>
              <w:rPr>
                <w:rFonts w:hint="default" w:ascii="Times New Roman" w:hAnsi="Times New Roman" w:eastAsia="仿宋_GB2312" w:cs="Times New Roman"/>
                <w:i w:val="0"/>
                <w:iCs w:val="0"/>
                <w:color w:val="000000"/>
                <w:kern w:val="0"/>
                <w:sz w:val="22"/>
                <w:szCs w:val="22"/>
                <w:highlight w:val="none"/>
                <w:u w:val="none"/>
                <w:lang w:val="en-US" w:eastAsia="zh-CN" w:bidi="ar"/>
              </w:rPr>
              <w:t>划（2021—2035</w:t>
            </w:r>
            <w:r>
              <w:rPr>
                <w:rFonts w:hint="eastAsia" w:ascii="仿宋_GB2312" w:hAnsi="宋体" w:eastAsia="仿宋_GB2312" w:cs="仿宋_GB2312"/>
                <w:i w:val="0"/>
                <w:iCs w:val="0"/>
                <w:color w:val="000000"/>
                <w:kern w:val="0"/>
                <w:sz w:val="22"/>
                <w:szCs w:val="22"/>
                <w:highlight w:val="none"/>
                <w:u w:val="none"/>
                <w:lang w:val="en-US" w:eastAsia="zh-CN" w:bidi="ar"/>
              </w:rPr>
              <w:t>年）》，进一步规范行业发展，完善市</w:t>
            </w:r>
            <w:r>
              <w:rPr>
                <w:rFonts w:hint="default" w:ascii="仿宋_GB2312" w:hAnsi="宋体" w:eastAsia="仿宋_GB2312" w:cs="仿宋_GB2312"/>
                <w:i w:val="0"/>
                <w:iCs w:val="0"/>
                <w:color w:val="000000"/>
                <w:kern w:val="0"/>
                <w:sz w:val="22"/>
                <w:szCs w:val="22"/>
                <w:highlight w:val="none"/>
                <w:u w:val="none"/>
                <w:lang w:eastAsia="zh-CN" w:bidi="ar"/>
              </w:rPr>
              <w:t>、</w:t>
            </w:r>
            <w:r>
              <w:rPr>
                <w:rFonts w:hint="eastAsia" w:ascii="仿宋_GB2312" w:hAnsi="宋体" w:eastAsia="仿宋_GB2312" w:cs="仿宋_GB2312"/>
                <w:i w:val="0"/>
                <w:iCs w:val="0"/>
                <w:color w:val="000000"/>
                <w:kern w:val="0"/>
                <w:sz w:val="22"/>
                <w:szCs w:val="22"/>
                <w:highlight w:val="none"/>
                <w:u w:val="none"/>
                <w:lang w:val="en-US" w:eastAsia="zh-CN" w:bidi="ar"/>
              </w:rPr>
              <w:t>区两级监管机制。加强对各区指导培训，强化动态管理，明确下限、控制上限、细化分类和落实规划点位。</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区商务局</w:t>
            </w:r>
          </w:p>
        </w:tc>
        <w:tc>
          <w:tcPr>
            <w:tcW w:w="4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1.按照《天津市加油站空间布局规划（2021-2035年）》的要求，做好拟开业企业的服务，营造良好营商环境。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2.加大</w:t>
            </w:r>
            <w:bookmarkStart w:id="0" w:name="_GoBack"/>
            <w:bookmarkEnd w:id="0"/>
            <w:r>
              <w:rPr>
                <w:rFonts w:hint="eastAsia" w:ascii="仿宋_GB2312" w:hAnsi="宋体" w:eastAsia="仿宋_GB2312" w:cs="仿宋_GB2312"/>
                <w:i w:val="0"/>
                <w:iCs w:val="0"/>
                <w:color w:val="000000"/>
                <w:kern w:val="0"/>
                <w:sz w:val="22"/>
                <w:szCs w:val="22"/>
                <w:u w:val="none"/>
                <w:lang w:val="en-US" w:eastAsia="zh-CN" w:bidi="ar"/>
              </w:rPr>
              <w:t>日常服务及监管力度，</w:t>
            </w:r>
            <w:r>
              <w:rPr>
                <w:rFonts w:hint="eastAsia" w:ascii="仿宋_GB2312" w:hAnsi="宋体" w:eastAsia="仿宋_GB2312" w:cs="仿宋_GB2312"/>
                <w:i w:val="0"/>
                <w:iCs w:val="0"/>
                <w:color w:val="000000"/>
                <w:kern w:val="0"/>
                <w:sz w:val="22"/>
                <w:szCs w:val="22"/>
                <w:highlight w:val="none"/>
                <w:u w:val="none"/>
                <w:lang w:val="en-US" w:eastAsia="zh-CN" w:bidi="ar"/>
              </w:rPr>
              <w:t>强化动态管理</w:t>
            </w: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9</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建立健全政务诚信诉讼执行协调机制</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16</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建立市高级人民法院、市发展改革委等部门、有关区人民政府参加的政务诚信诉讼执行协调机制。</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区法院</w:t>
            </w:r>
          </w:p>
        </w:tc>
        <w:tc>
          <w:tcPr>
            <w:tcW w:w="494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1.与网格管理中心签订协助执行协议，充分发挥基层网格治理的优势，推动河东法院判决的执行；</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2.定期向高院报送涉及政府部门、事业单位失信被执行人信息，与相关部门共同推动河东法院判决的执行；</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为方便当事人进行诉讼，促进民事纠纷非诉化解，本院已与天津市河东公证处、天津市和信公证处签署合作协议，当事人在诉讼及执行中主动履行义务，向法院提交保管款、提交担保款，可优先推荐其向上述两家公证处办理提存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91"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135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highlight w:val="none"/>
                <w:u w:val="none"/>
              </w:rPr>
            </w:pPr>
          </w:p>
        </w:tc>
        <w:tc>
          <w:tcPr>
            <w:tcW w:w="4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17</w:t>
            </w:r>
          </w:p>
        </w:tc>
        <w:tc>
          <w:tcPr>
            <w:tcW w:w="60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改革后，市高级人民法院定期将涉及政府部门、事业单位失信被执行人信息推送给市发展改革委，市发展改革委组织有关区人民政府、相关政府部门协调推动有关单位执行人民法院判决结果。</w:t>
            </w:r>
          </w:p>
        </w:tc>
        <w:tc>
          <w:tcPr>
            <w:tcW w:w="1208"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4943"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79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10</w:t>
            </w:r>
          </w:p>
        </w:tc>
        <w:tc>
          <w:tcPr>
            <w:tcW w:w="135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简化检验检测机构人员信息变更办理程序</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eastAsia" w:ascii="Times New Roman" w:hAnsi="Times New Roman" w:eastAsia="仿宋_GB2312" w:cs="Times New Roman"/>
                <w:i w:val="0"/>
                <w:iCs w:val="0"/>
                <w:color w:val="000000"/>
                <w:sz w:val="22"/>
                <w:szCs w:val="22"/>
                <w:highlight w:val="none"/>
                <w:u w:val="none"/>
                <w:lang w:val="en-US" w:eastAsia="zh-CN"/>
              </w:rPr>
              <w:t>18</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落实《市市场监管委关于简化检验检测机构人员信息变更办理程序的通知》，由检验检测机构自行登录检验检测机构综合监管服务平台修改法定代表人信息。最高管理者、技术负责人变更由检验检测机构自行保存任命文件等佐证材料，不需再到资质认定部门申请办理。</w:t>
            </w:r>
          </w:p>
        </w:tc>
        <w:tc>
          <w:tcPr>
            <w:tcW w:w="120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区市场监管局</w:t>
            </w:r>
          </w:p>
        </w:tc>
        <w:tc>
          <w:tcPr>
            <w:tcW w:w="494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1.按照市市场监管委工作要求，人员变更后机构应登录检验检测机构综合监管服务平台修改相应信息、保存任命文件等佐证材料备查，无需再到区市场监管局备案。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2.加强日常监管，发现未按程序</w:t>
            </w:r>
            <w:r>
              <w:rPr>
                <w:rFonts w:hint="eastAsia" w:ascii="仿宋_GB2312" w:hAnsi="宋体" w:eastAsia="仿宋_GB2312" w:cs="仿宋_GB2312"/>
                <w:color w:val="000000"/>
                <w:kern w:val="0"/>
                <w:sz w:val="22"/>
                <w:szCs w:val="22"/>
                <w:highlight w:val="none"/>
                <w:u w:val="none"/>
                <w:lang w:bidi="ar"/>
              </w:rPr>
              <w:t>要求修改信息或保存任命文件等佐证材料的</w:t>
            </w:r>
            <w:r>
              <w:rPr>
                <w:rFonts w:hint="eastAsia" w:ascii="仿宋_GB2312" w:hAnsi="宋体" w:eastAsia="仿宋_GB2312" w:cs="仿宋_GB2312"/>
                <w:color w:val="000000"/>
                <w:kern w:val="0"/>
                <w:sz w:val="22"/>
                <w:szCs w:val="22"/>
                <w:highlight w:val="none"/>
                <w:u w:val="none"/>
                <w:lang w:eastAsia="zh-CN" w:bidi="ar"/>
              </w:rPr>
              <w:t>的</w:t>
            </w:r>
            <w:r>
              <w:rPr>
                <w:rFonts w:hint="eastAsia" w:ascii="仿宋_GB2312" w:hAnsi="宋体" w:eastAsia="仿宋_GB2312" w:cs="仿宋_GB2312"/>
                <w:color w:val="000000"/>
                <w:kern w:val="0"/>
                <w:sz w:val="22"/>
                <w:szCs w:val="22"/>
                <w:highlight w:val="none"/>
                <w:u w:val="none"/>
                <w:lang w:val="en-US" w:eastAsia="zh-CN" w:bidi="ar"/>
              </w:rPr>
              <w:t>情况，提醒引导</w:t>
            </w:r>
            <w:r>
              <w:rPr>
                <w:rFonts w:hint="eastAsia" w:ascii="仿宋_GB2312" w:hAnsi="宋体" w:eastAsia="仿宋_GB2312" w:cs="仿宋_GB2312"/>
                <w:color w:val="000000"/>
                <w:kern w:val="0"/>
                <w:sz w:val="22"/>
                <w:szCs w:val="22"/>
                <w:highlight w:val="none"/>
                <w:u w:val="none"/>
                <w:lang w:bidi="ar"/>
              </w:rPr>
              <w:t>检验检测机构</w:t>
            </w:r>
            <w:r>
              <w:rPr>
                <w:rFonts w:hint="eastAsia" w:ascii="仿宋_GB2312" w:hAnsi="宋体" w:eastAsia="仿宋_GB2312" w:cs="仿宋_GB2312"/>
                <w:color w:val="000000"/>
                <w:kern w:val="0"/>
                <w:sz w:val="22"/>
                <w:szCs w:val="22"/>
                <w:highlight w:val="none"/>
                <w:u w:val="none"/>
                <w:lang w:val="en-US" w:eastAsia="zh-CN" w:bidi="ar"/>
              </w:rPr>
              <w:t>依法做好备案工作。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9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kern w:val="0"/>
                <w:sz w:val="22"/>
                <w:szCs w:val="22"/>
                <w:u w:val="none"/>
                <w:lang w:eastAsia="zh-CN" w:bidi="ar"/>
              </w:rPr>
            </w:pPr>
          </w:p>
        </w:tc>
        <w:tc>
          <w:tcPr>
            <w:tcW w:w="135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eastAsia" w:ascii="Times New Roman" w:hAnsi="Times New Roman" w:eastAsia="仿宋_GB2312" w:cs="Times New Roman"/>
                <w:i w:val="0"/>
                <w:iCs w:val="0"/>
                <w:color w:val="000000"/>
                <w:kern w:val="0"/>
                <w:sz w:val="22"/>
                <w:szCs w:val="22"/>
                <w:highlight w:val="none"/>
                <w:u w:val="none"/>
                <w:lang w:val="en-US" w:eastAsia="zh-CN" w:bidi="ar"/>
              </w:rPr>
              <w:t>19</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color w:val="000000"/>
                <w:kern w:val="0"/>
                <w:sz w:val="22"/>
                <w:szCs w:val="22"/>
                <w:highlight w:val="none"/>
                <w:u w:val="none"/>
                <w:lang w:bidi="ar"/>
              </w:rPr>
              <w:t>改革后，各区市场监管</w:t>
            </w:r>
            <w:r>
              <w:rPr>
                <w:rFonts w:hint="default" w:ascii="仿宋_GB2312" w:hAnsi="宋体" w:eastAsia="仿宋_GB2312" w:cs="仿宋_GB2312"/>
                <w:color w:val="000000"/>
                <w:kern w:val="0"/>
                <w:sz w:val="22"/>
                <w:szCs w:val="22"/>
                <w:highlight w:val="none"/>
                <w:u w:val="none"/>
                <w:lang w:bidi="ar"/>
              </w:rPr>
              <w:t>部门</w:t>
            </w:r>
            <w:r>
              <w:rPr>
                <w:rFonts w:hint="eastAsia" w:ascii="仿宋_GB2312" w:hAnsi="宋体" w:eastAsia="仿宋_GB2312" w:cs="仿宋_GB2312"/>
                <w:color w:val="000000"/>
                <w:kern w:val="0"/>
                <w:sz w:val="22"/>
                <w:szCs w:val="22"/>
                <w:highlight w:val="none"/>
                <w:u w:val="none"/>
                <w:lang w:bidi="ar"/>
              </w:rPr>
              <w:t>在日常监管中发现未按程序要求修改信息或保存任命文件等佐证材料的检验检测机构，按照相关规定予以处理。</w:t>
            </w:r>
          </w:p>
        </w:tc>
        <w:tc>
          <w:tcPr>
            <w:tcW w:w="120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494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本清单市考区部分共计</w:t>
      </w:r>
      <w:r>
        <w:rPr>
          <w:rFonts w:hint="eastAsia" w:ascii="Times New Roman" w:hAnsi="Times New Roman" w:eastAsia="仿宋_GB2312" w:cs="Times New Roman"/>
          <w:sz w:val="28"/>
          <w:szCs w:val="28"/>
          <w:lang w:val="en-US" w:eastAsia="zh-CN"/>
        </w:rPr>
        <w:t>10大项19条，河东区根据实际拿出具体举措21条，并将按季度推动。</w:t>
      </w:r>
    </w:p>
    <w:sectPr>
      <w:footerReference r:id="rId3" w:type="default"/>
      <w:pgSz w:w="16838" w:h="11906" w:orient="landscape"/>
      <w:pgMar w:top="1588" w:right="2098" w:bottom="1474" w:left="1985"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New Roman [ Mono ]">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仿宋_GB2312" w:eastAsia="仿宋_GB2312"/>
                              <w:sz w:val="28"/>
                              <w:szCs w:val="28"/>
                            </w:rPr>
                            <w:t>—</w:t>
                          </w:r>
                          <w:sdt>
                            <w:sdtPr>
                              <w:rPr>
                                <w:rFonts w:hint="eastAsia" w:ascii="仿宋_GB2312" w:eastAsia="仿宋_GB2312"/>
                                <w:sz w:val="28"/>
                                <w:szCs w:val="28"/>
                              </w:rPr>
                              <w:id w:val="-1042129668"/>
                              <w:docPartObj>
                                <w:docPartGallery w:val="autotext"/>
                              </w:docPartObj>
                            </w:sdtPr>
                            <w:sdtEndPr>
                              <w:rPr>
                                <w:rFonts w:hint="eastAsia" w:ascii="仿宋_GB2312" w:eastAsia="仿宋_GB2312"/>
                                <w:sz w:val="28"/>
                                <w:szCs w:val="28"/>
                              </w:rPr>
                            </w:sdtEndPr>
                            <w:sdtContent>
                              <w:r>
                                <w:rPr>
                                  <w:rFonts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w:t>
                              </w:r>
                              <w:r>
                                <w:rPr>
                                  <w:rFonts w:ascii="Times New Roman" w:hAnsi="Times New Roman" w:eastAsia="仿宋_GB2312" w:cs="Times New Roman"/>
                                  <w:sz w:val="28"/>
                                  <w:szCs w:val="28"/>
                                </w:rPr>
                                <w:fldChar w:fldCharType="end"/>
                              </w:r>
                              <w:r>
                                <w:rPr>
                                  <w:rFonts w:ascii="仿宋_GB2312" w:eastAsia="仿宋_GB2312"/>
                                  <w:sz w:val="28"/>
                                  <w:szCs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jc w:val="right"/>
                    </w:pPr>
                    <w:r>
                      <w:rPr>
                        <w:rFonts w:ascii="仿宋_GB2312" w:eastAsia="仿宋_GB2312"/>
                        <w:sz w:val="28"/>
                        <w:szCs w:val="28"/>
                      </w:rPr>
                      <w:t>—</w:t>
                    </w:r>
                    <w:sdt>
                      <w:sdtPr>
                        <w:rPr>
                          <w:rFonts w:hint="eastAsia" w:ascii="仿宋_GB2312" w:eastAsia="仿宋_GB2312"/>
                          <w:sz w:val="28"/>
                          <w:szCs w:val="28"/>
                        </w:rPr>
                        <w:id w:val="-1042129668"/>
                        <w:docPartObj>
                          <w:docPartGallery w:val="autotext"/>
                        </w:docPartObj>
                      </w:sdtPr>
                      <w:sdtEndPr>
                        <w:rPr>
                          <w:rFonts w:hint="eastAsia" w:ascii="仿宋_GB2312" w:eastAsia="仿宋_GB2312"/>
                          <w:sz w:val="28"/>
                          <w:szCs w:val="28"/>
                        </w:rPr>
                      </w:sdtEndPr>
                      <w:sdtContent>
                        <w:r>
                          <w:rPr>
                            <w:rFonts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w:t>
                        </w:r>
                        <w:r>
                          <w:rPr>
                            <w:rFonts w:ascii="Times New Roman" w:hAnsi="Times New Roman" w:eastAsia="仿宋_GB2312" w:cs="Times New Roman"/>
                            <w:sz w:val="28"/>
                            <w:szCs w:val="28"/>
                          </w:rPr>
                          <w:fldChar w:fldCharType="end"/>
                        </w:r>
                        <w:r>
                          <w:rPr>
                            <w:rFonts w:ascii="仿宋_GB2312" w:eastAsia="仿宋_GB2312"/>
                            <w:sz w:val="28"/>
                            <w:szCs w:val="28"/>
                          </w:rPr>
                          <w:t xml:space="preserve"> —</w:t>
                        </w:r>
                      </w:sdtContent>
                    </w:sdt>
                  </w:p>
                </w:txbxContent>
              </v:textbox>
            </v:shape>
          </w:pict>
        </mc:Fallback>
      </mc:AlternateContent>
    </w:r>
  </w:p>
  <w:p>
    <w:pPr>
      <w:pStyle w:val="2"/>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01"/>
    <w:rsid w:val="00134D01"/>
    <w:rsid w:val="001D2E0A"/>
    <w:rsid w:val="004A2F8B"/>
    <w:rsid w:val="00506D5A"/>
    <w:rsid w:val="0061636A"/>
    <w:rsid w:val="008B2F7B"/>
    <w:rsid w:val="010A4D9D"/>
    <w:rsid w:val="04645F08"/>
    <w:rsid w:val="10C40BCD"/>
    <w:rsid w:val="10F53AA5"/>
    <w:rsid w:val="27DF9593"/>
    <w:rsid w:val="2A145487"/>
    <w:rsid w:val="315442EF"/>
    <w:rsid w:val="398F18BB"/>
    <w:rsid w:val="3C7F212B"/>
    <w:rsid w:val="3F520AD3"/>
    <w:rsid w:val="3F9D631A"/>
    <w:rsid w:val="3FFF40FB"/>
    <w:rsid w:val="46122BA9"/>
    <w:rsid w:val="4E7744D4"/>
    <w:rsid w:val="4F5B8E22"/>
    <w:rsid w:val="4FEAFC10"/>
    <w:rsid w:val="52DE2818"/>
    <w:rsid w:val="5735349D"/>
    <w:rsid w:val="599301C9"/>
    <w:rsid w:val="5D3E1747"/>
    <w:rsid w:val="6DDC0E47"/>
    <w:rsid w:val="6DF74746"/>
    <w:rsid w:val="718E1D38"/>
    <w:rsid w:val="72EF155F"/>
    <w:rsid w:val="76CE9EA5"/>
    <w:rsid w:val="78AD377E"/>
    <w:rsid w:val="7E60236A"/>
    <w:rsid w:val="7F7F8013"/>
    <w:rsid w:val="7F8E8DDD"/>
    <w:rsid w:val="7FF3F08F"/>
    <w:rsid w:val="8F7CFCC6"/>
    <w:rsid w:val="A6F7422E"/>
    <w:rsid w:val="AF4BFBB9"/>
    <w:rsid w:val="B2D6F432"/>
    <w:rsid w:val="B2EF8EA8"/>
    <w:rsid w:val="BFFF8DAD"/>
    <w:rsid w:val="C6EE2495"/>
    <w:rsid w:val="C7BD3617"/>
    <w:rsid w:val="F27DAAD6"/>
    <w:rsid w:val="F2CF0042"/>
    <w:rsid w:val="F5FFA27A"/>
    <w:rsid w:val="F7BC29A9"/>
    <w:rsid w:val="FAFFD3D6"/>
    <w:rsid w:val="FBFDDD17"/>
    <w:rsid w:val="FC2D595D"/>
    <w:rsid w:val="FE773667"/>
    <w:rsid w:val="FFFD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Hei Ti"/>
    <w:qFormat/>
    <w:uiPriority w:val="0"/>
    <w:rPr>
      <w:rFonts w:ascii="黑体" w:hAnsi="黑体" w:eastAsia="黑体" w:cs="黑体"/>
      <w:sz w:val="32"/>
    </w:rPr>
  </w:style>
  <w:style w:type="character" w:customStyle="1" w:styleId="9">
    <w:name w:val="Hei Ti Bold"/>
    <w:qFormat/>
    <w:uiPriority w:val="0"/>
    <w:rPr>
      <w:rFonts w:ascii="黑体" w:hAnsi="黑体" w:eastAsia="黑体" w:cs="黑体"/>
      <w:b/>
      <w:sz w:val="32"/>
    </w:rPr>
  </w:style>
  <w:style w:type="character" w:customStyle="1" w:styleId="10">
    <w:name w:val="Hei Ti Bold1"/>
    <w:qFormat/>
    <w:uiPriority w:val="0"/>
    <w:rPr>
      <w:rFonts w:ascii="黑体" w:hAnsi="黑体" w:eastAsia="黑体" w:cs="黑体"/>
      <w:b/>
      <w:sz w:val="36"/>
    </w:rPr>
  </w:style>
  <w:style w:type="character" w:customStyle="1" w:styleId="11">
    <w:name w:val="GB_2312"/>
    <w:qFormat/>
    <w:uiPriority w:val="0"/>
    <w:rPr>
      <w:rFonts w:ascii="仿宋_GB2312" w:hAnsi="仿宋_GB2312" w:eastAsia="仿宋_GB2312" w:cs="仿宋_GB2312"/>
      <w:sz w:val="32"/>
    </w:rPr>
  </w:style>
  <w:style w:type="character" w:customStyle="1" w:styleId="12">
    <w:name w:val="GB_23121"/>
    <w:qFormat/>
    <w:uiPriority w:val="0"/>
    <w:rPr>
      <w:rFonts w:ascii="仿宋_GB2312" w:hAnsi="仿宋_GB2312" w:eastAsia="仿宋_GB2312" w:cs="仿宋_GB2312"/>
      <w:sz w:val="36"/>
    </w:rPr>
  </w:style>
  <w:style w:type="character" w:customStyle="1" w:styleId="13">
    <w:name w:val="Red_Color"/>
    <w:qFormat/>
    <w:uiPriority w:val="0"/>
    <w:rPr>
      <w:rFonts w:ascii="方正小标宋简体" w:hAnsi="方正小标宋简体" w:eastAsia="方正小标宋简体" w:cs="方正小标宋简体"/>
      <w:color w:val="000000"/>
      <w:sz w:val="65"/>
    </w:rPr>
  </w:style>
  <w:style w:type="character" w:customStyle="1" w:styleId="14">
    <w:name w:val="KaiTi"/>
    <w:qFormat/>
    <w:uiPriority w:val="0"/>
    <w:rPr>
      <w:rFonts w:ascii="楷体_GB2312" w:hAnsi="楷体_GB2312" w:eastAsia="楷体_GB2312" w:cs="楷体_GB2312"/>
      <w:sz w:val="32"/>
    </w:rPr>
  </w:style>
  <w:style w:type="character" w:customStyle="1" w:styleId="15">
    <w:name w:val="Fz_Xbs"/>
    <w:qFormat/>
    <w:uiPriority w:val="0"/>
    <w:rPr>
      <w:rFonts w:ascii="方正小标宋简体" w:hAnsi="方正小标宋简体" w:eastAsia="方正小标宋简体" w:cs="方正小标宋简体"/>
      <w:sz w:val="44"/>
    </w:rPr>
  </w:style>
  <w:style w:type="character" w:customStyle="1" w:styleId="16">
    <w:name w:val="font31"/>
    <w:basedOn w:val="5"/>
    <w:qFormat/>
    <w:uiPriority w:val="0"/>
    <w:rPr>
      <w:rFonts w:hint="eastAsia" w:ascii="仿宋_GB2312" w:eastAsia="仿宋_GB2312" w:cs="仿宋_GB2312"/>
      <w:color w:val="000000"/>
      <w:sz w:val="22"/>
      <w:szCs w:val="22"/>
      <w:u w:val="none"/>
    </w:rPr>
  </w:style>
  <w:style w:type="character" w:customStyle="1" w:styleId="17">
    <w:name w:val="font21"/>
    <w:basedOn w:val="5"/>
    <w:qFormat/>
    <w:uiPriority w:val="0"/>
    <w:rPr>
      <w:rFonts w:hint="default" w:ascii="Times New Roman [ Mono ]" w:hAnsi="Times New Roman [ Mono ]" w:eastAsia="Times New Roman [ Mono ]" w:cs="Times New Roman [ Mono ]"/>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Words>
  <Characters>689</Characters>
  <Lines>5</Lines>
  <Paragraphs>1</Paragraphs>
  <TotalTime>2</TotalTime>
  <ScaleCrop>false</ScaleCrop>
  <LinksUpToDate>false</LinksUpToDate>
  <CharactersWithSpaces>808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2020-10-24T20:52:00Z</dcterms:created>
  <dc:creator>处室一</dc:creator>
  <cp:lastModifiedBy>淼</cp:lastModifiedBy>
  <cp:lastPrinted>2022-12-29T05:51:00Z</cp:lastPrinted>
  <dcterms:modified xsi:type="dcterms:W3CDTF">2023-03-17T01:33:04Z</dcterms:modified>
  <dc:title>天津市人民政府推进政府职能转变和“放管服”改革协调小组办公室文件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5A8B9F6A9A204A64B93AE8700E446723</vt:lpwstr>
  </property>
</Properties>
</file>