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F7A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河东区生态环境局202</w:t>
      </w:r>
      <w:r>
        <w:rPr>
          <w:rFonts w:hint="default" w:ascii="方正小标宋简体" w:hAnsi="方正小标宋简体" w:eastAsia="方正小标宋简体" w:cs="方正小标宋简体"/>
          <w:color w:val="000000"/>
          <w:sz w:val="44"/>
          <w:szCs w:val="44"/>
          <w:lang w:val="en" w:eastAsia="zh-CN"/>
        </w:rPr>
        <w:t>5</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eastAsia="zh-CN"/>
        </w:rPr>
        <w:t>度重点</w:t>
      </w:r>
      <w:r>
        <w:rPr>
          <w:rFonts w:hint="eastAsia" w:ascii="方正小标宋简体" w:hAnsi="方正小标宋简体" w:eastAsia="方正小标宋简体" w:cs="方正小标宋简体"/>
          <w:color w:val="000000"/>
          <w:sz w:val="44"/>
          <w:szCs w:val="44"/>
        </w:rPr>
        <w:t>工作</w:t>
      </w:r>
      <w:r>
        <w:rPr>
          <w:rFonts w:hint="eastAsia" w:ascii="方正小标宋简体" w:hAnsi="方正小标宋简体" w:eastAsia="方正小标宋简体" w:cs="方正小标宋简体"/>
          <w:color w:val="000000"/>
          <w:sz w:val="44"/>
          <w:szCs w:val="44"/>
          <w:lang w:eastAsia="zh-CN"/>
        </w:rPr>
        <w:t>计划</w:t>
      </w:r>
    </w:p>
    <w:p w14:paraId="68E4DBF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4"/>
          <w:szCs w:val="34"/>
        </w:rPr>
      </w:pPr>
    </w:p>
    <w:p w14:paraId="2795BA7C">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仿宋_GB2312" w:hAnsi="仿宋_GB2312" w:eastAsia="仿宋_GB2312" w:cs="仿宋_GB2312"/>
          <w:color w:val="000000" w:themeColor="text1"/>
          <w:sz w:val="34"/>
          <w:szCs w:val="34"/>
          <w:shd w:val="clear" w:color="auto" w:fill="FFFFFF"/>
          <w:lang w:eastAsia="zh-CN"/>
        </w:rPr>
      </w:pPr>
      <w:r>
        <w:rPr>
          <w:rFonts w:hint="eastAsia" w:ascii="仿宋_GB2312" w:hAnsi="仿宋_GB2312" w:eastAsia="仿宋_GB2312" w:cs="仿宋_GB2312"/>
          <w:color w:val="000000" w:themeColor="text1"/>
          <w:sz w:val="34"/>
          <w:szCs w:val="34"/>
          <w:shd w:val="clear" w:color="auto" w:fill="FFFFFF"/>
        </w:rPr>
        <w:t>2025年河东区生态环境保护工作，坚持以习近平生态文明思想为统领，全面贯彻党的二十届三中全会关于生态文明建设和生态环境保护的战略部署，深入贯彻习近平总书记视察天津提出的“四个善作善成”要求，认真落实中央、市委经济工作会议部署要求，紧紧围绕2025年区委工作要点和区政府重点工作，牢固树立绿色发展理念，锚定“双碳”目标，积极探索节能降碳绿色发展之路，持续深入打好污染防治攻坚战，推动“十项行动”之绿色低碳发展行动见行见效，高水平推进新时代美丽河东建设。</w:t>
      </w:r>
    </w:p>
    <w:p w14:paraId="2936BBEE">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黑体" w:hAnsi="黑体" w:eastAsia="黑体" w:cs="黑体"/>
          <w:sz w:val="34"/>
          <w:szCs w:val="34"/>
          <w:lang w:eastAsia="zh-CN"/>
        </w:rPr>
      </w:pPr>
      <w:r>
        <w:rPr>
          <w:rFonts w:hint="eastAsia" w:ascii="黑体" w:hAnsi="黑体" w:eastAsia="黑体" w:cs="黑体"/>
          <w:sz w:val="34"/>
          <w:szCs w:val="34"/>
          <w:lang w:eastAsia="zh-CN"/>
        </w:rPr>
        <w:t>一、重点工作指标</w:t>
      </w:r>
    </w:p>
    <w:p w14:paraId="59A1C1CA">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eastAsia" w:ascii="仿宋_GB2312" w:hAnsi="仿宋_GB2312" w:eastAsia="仿宋_GB2312" w:cs="仿宋_GB2312"/>
          <w:color w:val="000000" w:themeColor="text1"/>
          <w:sz w:val="34"/>
          <w:szCs w:val="34"/>
          <w:shd w:val="clear" w:color="auto" w:fill="FFFFFF"/>
          <w:lang w:val="en-US" w:eastAsia="zh-CN"/>
        </w:rPr>
      </w:pPr>
      <w:r>
        <w:rPr>
          <w:rFonts w:hint="eastAsia" w:ascii="仿宋_GB2312" w:hAnsi="仿宋_GB2312" w:cs="仿宋_GB2312"/>
          <w:b/>
          <w:bCs/>
          <w:color w:val="000000" w:themeColor="text1"/>
          <w:sz w:val="34"/>
          <w:szCs w:val="34"/>
          <w:shd w:val="clear" w:color="auto" w:fill="FFFFFF"/>
          <w:lang w:val="en-US" w:eastAsia="zh-CN"/>
        </w:rPr>
        <w:t>1.空气质量指标：</w:t>
      </w:r>
      <w:r>
        <w:rPr>
          <w:rFonts w:hint="eastAsia" w:ascii="仿宋_GB2312" w:hAnsi="仿宋_GB2312" w:eastAsia="仿宋_GB2312" w:cs="仿宋_GB2312"/>
          <w:color w:val="000000" w:themeColor="text1"/>
          <w:sz w:val="34"/>
          <w:szCs w:val="34"/>
          <w:shd w:val="clear" w:color="auto" w:fill="FFFFFF"/>
        </w:rPr>
        <w:t>2025年，河东区PM2.5年均浓度控制在37微克/立方米以下，PM10年均浓度持续改善，优良天数比例达到72.6%以上，重污染天数控制在4天以内,氮氧化物、挥发性有机物排放总量实现增减平衡。</w:t>
      </w:r>
    </w:p>
    <w:p w14:paraId="68197B5A">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eastAsia" w:ascii="仿宋_GB2312" w:hAnsi="仿宋_GB2312" w:eastAsia="仿宋_GB2312" w:cs="仿宋_GB2312"/>
          <w:color w:val="000000" w:themeColor="text1"/>
          <w:sz w:val="34"/>
          <w:szCs w:val="34"/>
          <w:shd w:val="clear" w:color="auto" w:fill="FFFFFF"/>
          <w:lang w:val="en-US" w:eastAsia="zh-CN"/>
        </w:rPr>
      </w:pPr>
      <w:r>
        <w:rPr>
          <w:rFonts w:hint="eastAsia" w:ascii="仿宋_GB2312" w:hAnsi="仿宋_GB2312" w:cs="仿宋_GB2312"/>
          <w:b/>
          <w:bCs/>
          <w:color w:val="000000" w:themeColor="text1"/>
          <w:sz w:val="34"/>
          <w:szCs w:val="34"/>
          <w:shd w:val="clear" w:color="auto" w:fill="FFFFFF"/>
          <w:lang w:val="en-US" w:eastAsia="zh-CN"/>
        </w:rPr>
        <w:t>2.水环境指标：</w:t>
      </w:r>
      <w:r>
        <w:rPr>
          <w:rFonts w:hint="eastAsia" w:ascii="仿宋_GB2312" w:hAnsi="仿宋_GB2312" w:eastAsia="仿宋_GB2312" w:cs="仿宋_GB2312"/>
          <w:color w:val="000000" w:themeColor="text1"/>
          <w:sz w:val="34"/>
          <w:szCs w:val="34"/>
          <w:shd w:val="clear" w:color="auto" w:fill="FFFFFF"/>
        </w:rPr>
        <w:t>全年地表水水质达标率达到</w:t>
      </w:r>
      <w:r>
        <w:rPr>
          <w:rFonts w:hint="eastAsia" w:ascii="仿宋_GB2312" w:hAnsi="仿宋_GB2312" w:cs="仿宋_GB2312"/>
          <w:color w:val="000000" w:themeColor="text1"/>
          <w:sz w:val="34"/>
          <w:szCs w:val="34"/>
          <w:shd w:val="clear" w:color="auto" w:fill="FFFFFF"/>
          <w:lang w:val="en-US" w:eastAsia="zh-CN"/>
        </w:rPr>
        <w:t>100</w:t>
      </w:r>
      <w:r>
        <w:rPr>
          <w:rFonts w:hint="eastAsia" w:ascii="仿宋_GB2312" w:hAnsi="仿宋_GB2312" w:eastAsia="仿宋_GB2312" w:cs="仿宋_GB2312"/>
          <w:color w:val="000000" w:themeColor="text1"/>
          <w:sz w:val="34"/>
          <w:szCs w:val="34"/>
          <w:shd w:val="clear" w:color="auto" w:fill="FFFFFF"/>
        </w:rPr>
        <w:t>%，全部消除劣Ⅴ类和黑臭水体；化学需氧量、氨氮排放总量实现增减平衡。</w:t>
      </w:r>
    </w:p>
    <w:p w14:paraId="2DA5F920">
      <w:pPr>
        <w:keepNext w:val="0"/>
        <w:keepLines w:val="0"/>
        <w:pageBreakBefore w:val="0"/>
        <w:widowControl w:val="0"/>
        <w:kinsoku/>
        <w:wordWrap/>
        <w:overflowPunct/>
        <w:topLinePunct w:val="0"/>
        <w:autoSpaceDE/>
        <w:autoSpaceDN/>
        <w:bidi w:val="0"/>
        <w:adjustRightInd/>
        <w:snapToGrid/>
        <w:spacing w:line="580" w:lineRule="exact"/>
        <w:ind w:firstLine="683" w:firstLineChars="200"/>
        <w:textAlignment w:val="auto"/>
        <w:rPr>
          <w:rFonts w:hint="eastAsia" w:ascii="仿宋_GB2312" w:hAnsi="仿宋_GB2312" w:eastAsia="仿宋_GB2312" w:cs="仿宋_GB2312"/>
          <w:color w:val="000000" w:themeColor="text1"/>
          <w:sz w:val="34"/>
          <w:szCs w:val="34"/>
          <w:shd w:val="clear" w:color="auto" w:fill="FFFFFF"/>
          <w:lang w:val="en-US" w:eastAsia="zh-CN"/>
        </w:rPr>
      </w:pPr>
      <w:r>
        <w:rPr>
          <w:rFonts w:hint="eastAsia" w:ascii="仿宋_GB2312" w:hAnsi="仿宋_GB2312" w:cs="仿宋_GB2312"/>
          <w:b/>
          <w:bCs/>
          <w:color w:val="000000" w:themeColor="text1"/>
          <w:sz w:val="34"/>
          <w:szCs w:val="34"/>
          <w:shd w:val="clear" w:color="auto" w:fill="FFFFFF"/>
          <w:lang w:val="en-US" w:eastAsia="zh-CN"/>
        </w:rPr>
        <w:t>3.土壤环境指标：</w:t>
      </w:r>
      <w:r>
        <w:rPr>
          <w:rFonts w:hint="eastAsia" w:ascii="仿宋_GB2312" w:hAnsi="仿宋_GB2312" w:eastAsia="仿宋_GB2312" w:cs="仿宋_GB2312"/>
          <w:color w:val="000000" w:themeColor="text1"/>
          <w:sz w:val="34"/>
          <w:szCs w:val="34"/>
          <w:shd w:val="clear" w:color="auto" w:fill="FFFFFF"/>
        </w:rPr>
        <w:t>污染地块安全利用率达到100%。</w:t>
      </w:r>
    </w:p>
    <w:p w14:paraId="5E9AC94D">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黑体" w:hAnsi="黑体" w:eastAsia="黑体" w:cs="黑体"/>
          <w:sz w:val="34"/>
          <w:szCs w:val="34"/>
          <w:lang w:val="en-US" w:eastAsia="zh-CN"/>
        </w:rPr>
      </w:pPr>
      <w:bookmarkStart w:id="0" w:name="_Hlk32744939"/>
      <w:r>
        <w:rPr>
          <w:rFonts w:hint="eastAsia" w:ascii="黑体" w:hAnsi="黑体" w:eastAsia="黑体" w:cs="黑体"/>
          <w:sz w:val="34"/>
          <w:szCs w:val="34"/>
          <w:lang w:eastAsia="zh-CN"/>
        </w:rPr>
        <w:t>二、</w:t>
      </w:r>
      <w:bookmarkEnd w:id="0"/>
      <w:r>
        <w:rPr>
          <w:rFonts w:hint="eastAsia" w:ascii="黑体" w:hAnsi="黑体" w:eastAsia="黑体" w:cs="黑体"/>
          <w:sz w:val="34"/>
          <w:szCs w:val="34"/>
          <w:lang w:val="en-US" w:eastAsia="zh-CN"/>
        </w:rPr>
        <w:t>紧紧扭住重点工作不放松</w:t>
      </w:r>
    </w:p>
    <w:p w14:paraId="7EADD87A">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1.持续深入打好蓝天保卫战。</w:t>
      </w:r>
      <w:r>
        <w:rPr>
          <w:rFonts w:hint="eastAsia" w:ascii="仿宋_GB2312" w:hAnsi="仿宋_GB2312" w:eastAsia="仿宋_GB2312" w:cs="仿宋_GB2312"/>
          <w:color w:val="auto"/>
          <w:kern w:val="2"/>
          <w:sz w:val="34"/>
          <w:szCs w:val="34"/>
          <w:lang w:val="en-US" w:eastAsia="zh-CN" w:bidi="ar-SA"/>
        </w:rPr>
        <w:t>完善河东区重污染天气应急指挥调度机制，强化重污染天气科学应急、精准减排，定期更新应急减排清单。加强与市级部门及相关区的沟通协调，降低污染传输影响。紧盯辖区在建工地，联合推动“最美工地”绿色创建，充分发挥其标杆示范作用，加强移动源管控，推动落实非道路移动机械绿色化转型。调度各街道加大对各类零散工程、露天烧纸、燃放烟花爆竹等污染的管控力度，全力削减本地污染。</w:t>
      </w:r>
    </w:p>
    <w:p w14:paraId="67B24E4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2.持续深入打好碧水保卫战。</w:t>
      </w:r>
      <w:r>
        <w:rPr>
          <w:rFonts w:hint="eastAsia" w:ascii="仿宋_GB2312" w:hAnsi="仿宋_GB2312" w:eastAsia="仿宋_GB2312" w:cs="仿宋_GB2312"/>
          <w:color w:val="auto"/>
          <w:kern w:val="2"/>
          <w:sz w:val="34"/>
          <w:szCs w:val="34"/>
          <w:lang w:val="en-US" w:eastAsia="zh-CN" w:bidi="ar-SA"/>
        </w:rPr>
        <w:t>持续组织开展入河排污口排查溯源整治工作，按照“一口一策”整改方案，完成既定的整治任务。加强水质监管，密切关注水质变化，按照涉水工程进展要求及时与市级部门沟通；加强生活污染源整治，按要求完成入河排污口整治任务，督促各街道持续开展乱泼乱倒整治。</w:t>
      </w:r>
    </w:p>
    <w:p w14:paraId="2594CAE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3.持续深入打好净土保卫战。</w:t>
      </w:r>
      <w:r>
        <w:rPr>
          <w:rFonts w:hint="eastAsia" w:ascii="仿宋_GB2312" w:hAnsi="仿宋_GB2312" w:eastAsia="仿宋_GB2312" w:cs="仿宋_GB2312"/>
          <w:color w:val="auto"/>
          <w:kern w:val="2"/>
          <w:sz w:val="34"/>
          <w:szCs w:val="34"/>
          <w:lang w:val="en-US" w:eastAsia="zh-CN" w:bidi="ar-SA"/>
        </w:rPr>
        <w:t>创新“环境修复+开发建设”土壤治理模式实践，探索土壤修复与开发建设工程同步实施，支持成林道天药地块等污染地块结合周边片区城市更新项目实施建设，统筹推进土壤污染防治和城市更新项目实施，因地制宜支持生态环境导向的开发（EOD）模式土壤修复治理，形成片区联动发展新模式。</w:t>
      </w:r>
    </w:p>
    <w:p w14:paraId="3C80E0C1">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4.持续深入防范生态环境风险。</w:t>
      </w:r>
      <w:r>
        <w:rPr>
          <w:rFonts w:hint="eastAsia" w:ascii="仿宋_GB2312" w:hAnsi="仿宋_GB2312" w:eastAsia="仿宋_GB2312" w:cs="仿宋_GB2312"/>
          <w:color w:val="auto"/>
          <w:kern w:val="2"/>
          <w:sz w:val="34"/>
          <w:szCs w:val="34"/>
          <w:lang w:val="en-US" w:eastAsia="zh-CN" w:bidi="ar-SA"/>
        </w:rPr>
        <w:t>以涉危险废物、涉危险化学品等行业企业为重点对象，持续对辖区内100余家涉危企业开展危险废物规范化环境管理评估，实施分类分级风险管控，适时开展突发环境事件应急演练。加强医疗废物的产生、收集、运输全过程监管，坚决打击非法转移、倾倒、处置等违法行为，确保全部医疗废物100%无害化处置。</w:t>
      </w:r>
    </w:p>
    <w:p w14:paraId="4856D6C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5.持续深入推进生态环保督察整改“回头看”。</w:t>
      </w:r>
      <w:r>
        <w:rPr>
          <w:rFonts w:hint="eastAsia" w:ascii="仿宋_GB2312" w:hAnsi="仿宋_GB2312" w:eastAsia="仿宋_GB2312" w:cs="仿宋_GB2312"/>
          <w:color w:val="auto"/>
          <w:kern w:val="2"/>
          <w:sz w:val="34"/>
          <w:szCs w:val="34"/>
          <w:lang w:val="en-US" w:eastAsia="zh-CN" w:bidi="ar-SA"/>
        </w:rPr>
        <w:t>巩固两轮中央环保督察转办件整改成果的基础上，推动环保督察整改落实工作常态化、制度化、长效化，围绕群众身边突出环境问题定期开展“回头看”，强化整改，落实督查整改机制，举一反三，把重复反映件作为重点，以坚持不懈的工作态度和常抓不懈的整治力度，推动突出环境问题整改落实到位，全方位、全过程推进生态优先、绿色发展。</w:t>
      </w:r>
    </w:p>
    <w:p w14:paraId="4087A13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黑体" w:hAnsi="黑体" w:eastAsia="黑体" w:cs="黑体"/>
          <w:b w:val="0"/>
          <w:bCs w:val="0"/>
          <w:color w:val="auto"/>
          <w:kern w:val="2"/>
          <w:sz w:val="34"/>
          <w:szCs w:val="34"/>
          <w:lang w:val="en-US" w:eastAsia="zh-CN" w:bidi="ar-SA"/>
        </w:rPr>
      </w:pPr>
      <w:r>
        <w:rPr>
          <w:rFonts w:hint="eastAsia" w:ascii="黑体" w:hAnsi="黑体" w:eastAsia="黑体" w:cs="黑体"/>
          <w:b w:val="0"/>
          <w:bCs w:val="0"/>
          <w:color w:val="auto"/>
          <w:kern w:val="2"/>
          <w:sz w:val="34"/>
          <w:szCs w:val="34"/>
          <w:lang w:val="en-US" w:eastAsia="zh-CN" w:bidi="ar-SA"/>
        </w:rPr>
        <w:t>三、紧紧扭住亮点工作出成效</w:t>
      </w:r>
    </w:p>
    <w:p w14:paraId="679BF55D">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1.继续推动绿色低碳发展行动。</w:t>
      </w:r>
      <w:r>
        <w:rPr>
          <w:rFonts w:hint="eastAsia" w:ascii="仿宋_GB2312" w:hAnsi="仿宋_GB2312" w:eastAsia="仿宋_GB2312" w:cs="仿宋_GB2312"/>
          <w:color w:val="auto"/>
          <w:kern w:val="2"/>
          <w:sz w:val="34"/>
          <w:szCs w:val="34"/>
          <w:lang w:val="en-US" w:eastAsia="zh-CN" w:bidi="ar-SA"/>
        </w:rPr>
        <w:t>抓好《河东区深入打好污染防治攻坚战2025年度工作计划》的落实，深入打好蓝天、碧水、净土保卫战。实施人居环境综合整治，加强异味和噪声污染防治，开展安静小区创建和复验。坚决完成市下达的节能减排目标任务，确保河东区4项主要污染物实现总量控制、增减平衡。</w:t>
      </w:r>
    </w:p>
    <w:p w14:paraId="725459DC">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2.有序推进“无废城市”建设。</w:t>
      </w:r>
      <w:r>
        <w:rPr>
          <w:rFonts w:hint="eastAsia" w:ascii="仿宋_GB2312" w:hAnsi="仿宋_GB2312" w:eastAsia="仿宋_GB2312" w:cs="仿宋_GB2312"/>
          <w:color w:val="auto"/>
          <w:kern w:val="2"/>
          <w:sz w:val="34"/>
          <w:szCs w:val="34"/>
          <w:lang w:val="en-US" w:eastAsia="zh-CN" w:bidi="ar-SA"/>
        </w:rPr>
        <w:t>认真落实河东区2025年“无废城市”建设工作要点，进一步细化完善“无废城市”建设工作机制。继续开展“无废细胞”创建，抓好2025年度“无废细胞”创建指标的落实。</w:t>
      </w:r>
    </w:p>
    <w:p w14:paraId="0D12AD6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3.持续开展环境执法大练兵。</w:t>
      </w:r>
      <w:r>
        <w:rPr>
          <w:rFonts w:hint="eastAsia" w:ascii="仿宋_GB2312" w:hAnsi="仿宋_GB2312" w:eastAsia="仿宋_GB2312" w:cs="仿宋_GB2312"/>
          <w:color w:val="auto"/>
          <w:kern w:val="2"/>
          <w:sz w:val="34"/>
          <w:szCs w:val="34"/>
          <w:lang w:val="en-US" w:eastAsia="zh-CN" w:bidi="ar-SA"/>
        </w:rPr>
        <w:t>统筹谋划2025年执法大练兵工作，聚焦年度重点执法任务，持续规范环境执法行为，实行环境执法工作正负面清单，落实市场轻微违法违规行为免罚清单，拓展非现场执法手段，提升环境执法精细化、规范化水平。</w:t>
      </w:r>
    </w:p>
    <w:p w14:paraId="3F352C2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4.扎实开展环境信访工作。</w:t>
      </w:r>
      <w:r>
        <w:rPr>
          <w:rFonts w:hint="eastAsia" w:ascii="仿宋_GB2312" w:hAnsi="仿宋_GB2312" w:eastAsia="仿宋_GB2312" w:cs="仿宋_GB2312"/>
          <w:color w:val="auto"/>
          <w:kern w:val="2"/>
          <w:sz w:val="34"/>
          <w:szCs w:val="34"/>
          <w:lang w:val="en-US" w:eastAsia="zh-CN" w:bidi="ar-SA"/>
        </w:rPr>
        <w:t>完善信访责任制和首访负责制，对环境信访问题件件有着落、事事有回音；实行重要信访领导包案，对政民零距离、人民网留言等信访渠道的重要信访件，逐一进行现场核实，依法依规进行办理，严厉打击环境违法行为。</w:t>
      </w:r>
    </w:p>
    <w:p w14:paraId="15822B89">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黑体" w:hAnsi="黑体" w:eastAsia="黑体" w:cs="黑体"/>
          <w:b w:val="0"/>
          <w:bCs w:val="0"/>
          <w:color w:val="auto"/>
          <w:kern w:val="2"/>
          <w:sz w:val="34"/>
          <w:szCs w:val="34"/>
          <w:lang w:val="en-US" w:eastAsia="zh-CN" w:bidi="ar-SA"/>
        </w:rPr>
      </w:pPr>
      <w:r>
        <w:rPr>
          <w:rFonts w:hint="eastAsia" w:ascii="黑体" w:hAnsi="黑体" w:eastAsia="黑体" w:cs="黑体"/>
          <w:b w:val="0"/>
          <w:bCs w:val="0"/>
          <w:color w:val="auto"/>
          <w:kern w:val="2"/>
          <w:sz w:val="34"/>
          <w:szCs w:val="34"/>
          <w:lang w:val="en-US" w:eastAsia="zh-CN" w:bidi="ar-SA"/>
        </w:rPr>
        <w:t>四、紧紧扭住难点工作求突破</w:t>
      </w:r>
    </w:p>
    <w:p w14:paraId="16A822C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1.持续发力补齐环境监测短板。</w:t>
      </w:r>
      <w:r>
        <w:rPr>
          <w:rFonts w:hint="eastAsia" w:ascii="仿宋_GB2312" w:hAnsi="仿宋_GB2312" w:eastAsia="仿宋_GB2312" w:cs="仿宋_GB2312"/>
          <w:color w:val="auto"/>
          <w:kern w:val="2"/>
          <w:sz w:val="34"/>
          <w:szCs w:val="34"/>
          <w:lang w:val="en-US" w:eastAsia="zh-CN" w:bidi="ar-SA"/>
        </w:rPr>
        <w:t>逐步恢复移动式及固定式遥感监测系统运行，快速实时检测行驶车辆，快速筛选高排放车辆。改善地表水水质自动监测站运行维护工作，针对三方运维工作开展每月例行检查，发现问题及时督促整改，保障安全正常运行。</w:t>
      </w:r>
    </w:p>
    <w:p w14:paraId="596CEEE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2.加强机动车排污治理。</w:t>
      </w:r>
      <w:r>
        <w:rPr>
          <w:rFonts w:hint="eastAsia" w:ascii="仿宋_GB2312" w:hAnsi="仿宋_GB2312" w:eastAsia="仿宋_GB2312" w:cs="仿宋_GB2312"/>
          <w:color w:val="auto"/>
          <w:kern w:val="2"/>
          <w:sz w:val="34"/>
          <w:szCs w:val="34"/>
          <w:lang w:val="en-US" w:eastAsia="zh-CN" w:bidi="ar-SA"/>
        </w:rPr>
        <w:t>开展常态化路检路查，切实加强柴油货车超标排放治理，确保达标排放。建立机动车大户管理工作机制，加大对机动车大户的抽测力度，对机动车排放超标率较高的大户及时约谈，监督开展污染治理，有效减少污染排放。</w:t>
      </w:r>
    </w:p>
    <w:p w14:paraId="48E47E2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3.加强城市环境空气降尘量监测。</w:t>
      </w:r>
      <w:r>
        <w:rPr>
          <w:rFonts w:hint="eastAsia" w:ascii="仿宋_GB2312" w:hAnsi="仿宋_GB2312" w:eastAsia="仿宋_GB2312" w:cs="仿宋_GB2312"/>
          <w:color w:val="auto"/>
          <w:kern w:val="2"/>
          <w:sz w:val="34"/>
          <w:szCs w:val="34"/>
          <w:lang w:val="en-US" w:eastAsia="zh-CN" w:bidi="ar-SA"/>
        </w:rPr>
        <w:t>按照市生态环境监测中心有关要求，推动完成河东区“2+26”城市环境空气降尘量监测分析工作，每月将监测结果及时报送市生态环境监测中心。</w:t>
      </w:r>
    </w:p>
    <w:p w14:paraId="68805B78">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4.突出重点领域噪声污染防治。</w:t>
      </w:r>
      <w:r>
        <w:rPr>
          <w:rFonts w:hint="eastAsia" w:ascii="仿宋_GB2312" w:hAnsi="仿宋_GB2312" w:eastAsia="仿宋_GB2312" w:cs="仿宋_GB2312"/>
          <w:color w:val="auto"/>
          <w:kern w:val="2"/>
          <w:sz w:val="34"/>
          <w:szCs w:val="34"/>
          <w:lang w:val="en-US" w:eastAsia="zh-CN" w:bidi="ar-SA"/>
        </w:rPr>
        <w:t>开展工业企业、社会生活、建筑施工、交通等重点领域噪声污染防治，有效降低噪声投诉率。推动完成昼夜城市区域环境噪声和道路交通噪声监测工作，掌握区域环境噪声总体水平及现状，为领导决策提供数据支撑。</w:t>
      </w:r>
    </w:p>
    <w:p w14:paraId="781AAD47">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cs="仿宋_GB2312"/>
          <w:color w:val="auto"/>
          <w:kern w:val="2"/>
          <w:sz w:val="34"/>
          <w:szCs w:val="34"/>
          <w:lang w:val="en-US" w:eastAsia="zh-CN" w:bidi="ar-SA"/>
        </w:rPr>
      </w:pPr>
      <w:r>
        <w:rPr>
          <w:rFonts w:hint="eastAsia" w:ascii="仿宋_GB2312" w:hAnsi="仿宋_GB2312" w:cs="仿宋_GB2312"/>
          <w:b/>
          <w:bCs/>
          <w:color w:val="auto"/>
          <w:kern w:val="2"/>
          <w:sz w:val="34"/>
          <w:szCs w:val="34"/>
          <w:lang w:val="en-US" w:eastAsia="zh-CN" w:bidi="ar-SA"/>
        </w:rPr>
        <w:t>5.压实全面从严治党主体责任</w:t>
      </w:r>
      <w:r>
        <w:rPr>
          <w:rFonts w:hint="default" w:ascii="仿宋_GB2312" w:hAnsi="仿宋_GB2312" w:cs="仿宋_GB2312"/>
          <w:b/>
          <w:bCs/>
          <w:color w:val="auto"/>
          <w:kern w:val="2"/>
          <w:sz w:val="34"/>
          <w:szCs w:val="34"/>
          <w:lang w:val="en" w:eastAsia="zh-CN" w:bidi="ar-SA"/>
        </w:rPr>
        <w:t>。</w:t>
      </w:r>
      <w:r>
        <w:rPr>
          <w:rFonts w:hint="eastAsia" w:ascii="仿宋_GB2312" w:hAnsi="仿宋_GB2312" w:eastAsia="仿宋_GB2312" w:cs="仿宋_GB2312"/>
          <w:color w:val="auto"/>
          <w:kern w:val="2"/>
          <w:sz w:val="34"/>
          <w:szCs w:val="34"/>
          <w:lang w:val="en-US" w:eastAsia="zh-CN" w:bidi="ar-SA"/>
        </w:rPr>
        <w:t>夯实思想根基，持续深入学习贯彻习近平新时代中国特色社会主义思想</w:t>
      </w:r>
      <w:r>
        <w:rPr>
          <w:rFonts w:hint="eastAsia" w:ascii="仿宋_GB2312" w:hAnsi="仿宋_GB2312" w:cs="仿宋_GB2312"/>
          <w:color w:val="auto"/>
          <w:kern w:val="2"/>
          <w:sz w:val="34"/>
          <w:szCs w:val="34"/>
          <w:lang w:val="en-US" w:eastAsia="zh-CN" w:bidi="ar-SA"/>
        </w:rPr>
        <w:t>和党的二十届三中全会精神</w:t>
      </w:r>
      <w:r>
        <w:rPr>
          <w:rFonts w:hint="eastAsia" w:ascii="仿宋_GB2312" w:hAnsi="仿宋_GB2312" w:eastAsia="仿宋_GB2312" w:cs="仿宋_GB2312"/>
          <w:color w:val="auto"/>
          <w:kern w:val="2"/>
          <w:sz w:val="34"/>
          <w:szCs w:val="34"/>
          <w:lang w:val="en-US" w:eastAsia="zh-CN" w:bidi="ar-SA"/>
        </w:rPr>
        <w:t>。落实主体责任，推动党建与业务深度融合，做到党建工作与业务工作同谋划、同部署、同落实、同检查。加强基层党建，贯彻落实《党支部工作条例》、《党和国家机关基层组织工作条例》、《基层党组织选举工作条例》，严格执行组织生活制度。着力推进正风肃纪，扎实推进形式主义官僚主义和不作为不担当问题专项治理，突出抓好纪律教育、反腐倡廉教育、廉政警示教育，精准运用监督执纪“第一种形态”，营造风清气正的良好政治生态。持续</w:t>
      </w:r>
      <w:r>
        <w:rPr>
          <w:rFonts w:hint="eastAsia" w:ascii="仿宋_GB2312" w:hAnsi="仿宋_GB2312" w:cs="仿宋_GB2312"/>
          <w:color w:val="auto"/>
          <w:kern w:val="2"/>
          <w:sz w:val="34"/>
          <w:szCs w:val="34"/>
          <w:lang w:val="en-US" w:eastAsia="zh-CN" w:bidi="ar-SA"/>
        </w:rPr>
        <w:t>巩固学习贯彻</w:t>
      </w:r>
      <w:r>
        <w:rPr>
          <w:rFonts w:hint="eastAsia" w:ascii="仿宋_GB2312" w:hAnsi="仿宋_GB2312" w:eastAsia="仿宋_GB2312" w:cs="仿宋_GB2312"/>
          <w:color w:val="auto"/>
          <w:kern w:val="2"/>
          <w:sz w:val="34"/>
          <w:szCs w:val="34"/>
          <w:lang w:val="en-US" w:eastAsia="zh-CN" w:bidi="ar-SA"/>
        </w:rPr>
        <w:t>习近平新时代中国特色社会主义思想主题教育</w:t>
      </w:r>
      <w:r>
        <w:rPr>
          <w:rFonts w:hint="eastAsia" w:ascii="仿宋_GB2312" w:hAnsi="仿宋_GB2312" w:cs="仿宋_GB2312"/>
          <w:color w:val="auto"/>
          <w:kern w:val="2"/>
          <w:sz w:val="34"/>
          <w:szCs w:val="34"/>
          <w:lang w:val="en-US" w:eastAsia="zh-CN" w:bidi="ar-SA"/>
        </w:rPr>
        <w:t>和党纪学习教育成果</w:t>
      </w:r>
      <w:r>
        <w:rPr>
          <w:rFonts w:hint="eastAsia" w:ascii="仿宋_GB2312" w:hAnsi="仿宋_GB2312" w:eastAsia="仿宋_GB2312" w:cs="仿宋_GB2312"/>
          <w:color w:val="auto"/>
          <w:kern w:val="2"/>
          <w:sz w:val="34"/>
          <w:szCs w:val="34"/>
          <w:lang w:val="en-US" w:eastAsia="zh-CN" w:bidi="ar-SA"/>
        </w:rPr>
        <w:t>，牢固树立和践行“</w:t>
      </w:r>
      <w:r>
        <w:rPr>
          <w:rFonts w:hint="eastAsia" w:ascii="仿宋_GB2312" w:hAnsi="仿宋_GB2312" w:cs="仿宋_GB2312"/>
          <w:color w:val="auto"/>
          <w:kern w:val="2"/>
          <w:sz w:val="34"/>
          <w:szCs w:val="34"/>
          <w:lang w:val="en-US" w:eastAsia="zh-CN" w:bidi="ar-SA"/>
        </w:rPr>
        <w:t>两</w:t>
      </w:r>
      <w:r>
        <w:rPr>
          <w:rFonts w:hint="eastAsia" w:ascii="仿宋_GB2312" w:hAnsi="仿宋_GB2312" w:eastAsia="仿宋_GB2312" w:cs="仿宋_GB2312"/>
          <w:color w:val="auto"/>
          <w:kern w:val="2"/>
          <w:sz w:val="34"/>
          <w:szCs w:val="34"/>
          <w:lang w:val="en-US" w:eastAsia="zh-CN" w:bidi="ar-SA"/>
        </w:rPr>
        <w:t>山”理念，立足岗位、尽职尽责，努力在新征程中奋力开创新局面，</w:t>
      </w:r>
      <w:r>
        <w:rPr>
          <w:rFonts w:hint="eastAsia" w:ascii="仿宋_GB2312" w:hAnsi="仿宋_GB2312" w:cs="仿宋_GB2312"/>
          <w:color w:val="auto"/>
          <w:kern w:val="2"/>
          <w:sz w:val="34"/>
          <w:szCs w:val="34"/>
          <w:lang w:val="en-US" w:eastAsia="zh-CN" w:bidi="ar-SA"/>
        </w:rPr>
        <w:t>为“美丽中国先行区”建设和美丽河东建设贡献积极力量！</w:t>
      </w:r>
    </w:p>
    <w:p w14:paraId="0BF6AB0A">
      <w:pPr>
        <w:pStyle w:val="2"/>
        <w:rPr>
          <w:rFonts w:hint="eastAsia" w:ascii="仿宋_GB2312" w:hAnsi="仿宋_GB2312" w:cs="仿宋_GB2312"/>
          <w:color w:val="auto"/>
          <w:kern w:val="2"/>
          <w:sz w:val="34"/>
          <w:szCs w:val="34"/>
          <w:lang w:val="en-US" w:eastAsia="zh-CN" w:bidi="ar-SA"/>
        </w:rPr>
      </w:pPr>
    </w:p>
    <w:p w14:paraId="2131B9D8">
      <w:pPr>
        <w:rPr>
          <w:rFonts w:hint="eastAsia"/>
          <w:lang w:val="en-US" w:eastAsia="zh-CN"/>
        </w:rPr>
      </w:pPr>
      <w:bookmarkStart w:id="1" w:name="_GoBack"/>
      <w:bookmarkEnd w:id="1"/>
    </w:p>
    <w:p w14:paraId="19D9A5AC">
      <w:pPr>
        <w:pStyle w:val="13"/>
        <w:keepNext w:val="0"/>
        <w:keepLines w:val="0"/>
        <w:widowControl/>
        <w:suppressLineNumbers w:val="0"/>
        <w:ind w:left="0" w:firstLine="0"/>
        <w:jc w:val="right"/>
        <w:rPr>
          <w:rFonts w:ascii="微软雅黑" w:hAnsi="微软雅黑" w:eastAsia="微软雅黑" w:cs="微软雅黑"/>
          <w:i w:val="0"/>
          <w:iCs w:val="0"/>
          <w:caps w:val="0"/>
          <w:color w:val="000000"/>
          <w:spacing w:val="0"/>
          <w:sz w:val="30"/>
          <w:szCs w:val="30"/>
        </w:rPr>
      </w:pPr>
      <w:r>
        <w:rPr>
          <w:rFonts w:ascii="仿宋_GB2312" w:hAnsi="微软雅黑" w:eastAsia="仿宋_GB2312" w:cs="仿宋_GB2312"/>
          <w:i w:val="0"/>
          <w:iCs w:val="0"/>
          <w:caps w:val="0"/>
          <w:color w:val="000000"/>
          <w:spacing w:val="0"/>
          <w:sz w:val="30"/>
          <w:szCs w:val="30"/>
        </w:rPr>
        <w:t>河东区生态环境局</w:t>
      </w:r>
    </w:p>
    <w:p w14:paraId="1E452DC9">
      <w:pPr>
        <w:pStyle w:val="13"/>
        <w:keepNext w:val="0"/>
        <w:keepLines w:val="0"/>
        <w:widowControl/>
        <w:suppressLineNumbers w:val="0"/>
        <w:ind w:left="0" w:firstLine="0"/>
        <w:jc w:val="right"/>
        <w:rPr>
          <w:rFonts w:hint="eastAsia" w:ascii="微软雅黑" w:hAnsi="微软雅黑" w:eastAsia="微软雅黑" w:cs="微软雅黑"/>
          <w:i w:val="0"/>
          <w:iCs w:val="0"/>
          <w:caps w:val="0"/>
          <w:color w:val="000000"/>
          <w:spacing w:val="0"/>
          <w:sz w:val="30"/>
          <w:szCs w:val="30"/>
        </w:rPr>
      </w:pPr>
      <w:r>
        <w:rPr>
          <w:rFonts w:hint="eastAsia" w:ascii="仿宋_GB2312" w:hAnsi="微软雅黑" w:eastAsia="仿宋_GB2312" w:cs="仿宋_GB2312"/>
          <w:i w:val="0"/>
          <w:iCs w:val="0"/>
          <w:caps w:val="0"/>
          <w:color w:val="000000"/>
          <w:spacing w:val="0"/>
          <w:sz w:val="30"/>
          <w:szCs w:val="30"/>
        </w:rPr>
        <w:t>2025年2月28日 </w:t>
      </w:r>
    </w:p>
    <w:p w14:paraId="126F3B59">
      <w:pPr>
        <w:rPr>
          <w:rFonts w:hint="eastAsia"/>
          <w:lang w:val="en-US" w:eastAsia="zh-CN"/>
        </w:rPr>
      </w:pPr>
    </w:p>
    <w:sectPr>
      <w:footerReference r:id="rId3" w:type="default"/>
      <w:footerReference r:id="rId4" w:type="even"/>
      <w:pgSz w:w="11906" w:h="16838"/>
      <w:pgMar w:top="2041" w:right="1559" w:bottom="1701" w:left="1559" w:header="851" w:footer="992" w:gutter="0"/>
      <w:pgNumType w:fmt="decimal"/>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D6848">
    <w:pPr>
      <w:pStyle w:val="11"/>
      <w:rPr>
        <w:szCs w:val="24"/>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70DE3DE">
                <w:pPr>
                  <w:pStyle w:val="11"/>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CD9D4">
    <w:pPr>
      <w:pStyle w:val="11"/>
      <w:ind w:firstLine="360"/>
      <w:jc w:val="center"/>
      <w:rPr>
        <w:sz w:val="28"/>
      </w:rPr>
    </w:pPr>
    <w:r>
      <w:rPr>
        <w:rFonts w:ascii="宋体" w:hAnsi="宋体" w:cs="宋体"/>
        <w:sz w:val="28"/>
      </w:rPr>
      <w:fldChar w:fldCharType="begin"/>
    </w:r>
    <w:r>
      <w:rPr>
        <w:rFonts w:ascii="宋体" w:hAnsi="宋体" w:cs="宋体"/>
        <w:sz w:val="28"/>
      </w:rPr>
      <w:instrText xml:space="preserve">PAGE   \* MERGEFORMAT</w:instrText>
    </w:r>
    <w:r>
      <w:rPr>
        <w:rFonts w:ascii="宋体" w:hAnsi="宋体" w:cs="宋体"/>
        <w:sz w:val="28"/>
      </w:rPr>
      <w:fldChar w:fldCharType="separate"/>
    </w:r>
    <w:r>
      <w:rPr>
        <w:rFonts w:ascii="宋体" w:hAnsi="宋体" w:cs="宋体"/>
        <w:sz w:val="28"/>
        <w:lang w:val="zh-CN"/>
      </w:rPr>
      <w:t>-</w:t>
    </w:r>
    <w:r>
      <w:rPr>
        <w:rFonts w:ascii="宋体" w:hAnsi="宋体" w:cs="宋体"/>
        <w:sz w:val="28"/>
      </w:rPr>
      <w:t xml:space="preserve"> 14 -</w:t>
    </w:r>
    <w:r>
      <w:rPr>
        <w:rFonts w:ascii="宋体" w:hAnsi="宋体" w:cs="宋体"/>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58"/>
  <w:drawingGridVerticalSpacing w:val="435"/>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F35DD"/>
    <w:rsid w:val="00007C51"/>
    <w:rsid w:val="00027D80"/>
    <w:rsid w:val="000524E5"/>
    <w:rsid w:val="000600BD"/>
    <w:rsid w:val="00065C5F"/>
    <w:rsid w:val="0007369B"/>
    <w:rsid w:val="00075D56"/>
    <w:rsid w:val="000916AF"/>
    <w:rsid w:val="00094260"/>
    <w:rsid w:val="00097264"/>
    <w:rsid w:val="000D5DC9"/>
    <w:rsid w:val="000E0394"/>
    <w:rsid w:val="000F1845"/>
    <w:rsid w:val="001609D4"/>
    <w:rsid w:val="00185DAD"/>
    <w:rsid w:val="00193156"/>
    <w:rsid w:val="001A40F9"/>
    <w:rsid w:val="001B103F"/>
    <w:rsid w:val="001C7DB7"/>
    <w:rsid w:val="001D6691"/>
    <w:rsid w:val="001E0242"/>
    <w:rsid w:val="00216FD0"/>
    <w:rsid w:val="00240D99"/>
    <w:rsid w:val="00247F7B"/>
    <w:rsid w:val="00254540"/>
    <w:rsid w:val="00265EFE"/>
    <w:rsid w:val="002839E1"/>
    <w:rsid w:val="00295660"/>
    <w:rsid w:val="00297739"/>
    <w:rsid w:val="002A0428"/>
    <w:rsid w:val="002B08D8"/>
    <w:rsid w:val="002C495A"/>
    <w:rsid w:val="002E67C0"/>
    <w:rsid w:val="002F2508"/>
    <w:rsid w:val="002F35DD"/>
    <w:rsid w:val="00307348"/>
    <w:rsid w:val="00337000"/>
    <w:rsid w:val="00381439"/>
    <w:rsid w:val="003D5AC3"/>
    <w:rsid w:val="00401E91"/>
    <w:rsid w:val="00447499"/>
    <w:rsid w:val="00461573"/>
    <w:rsid w:val="00471898"/>
    <w:rsid w:val="004922EB"/>
    <w:rsid w:val="00493F37"/>
    <w:rsid w:val="00496304"/>
    <w:rsid w:val="004A684E"/>
    <w:rsid w:val="004B54A1"/>
    <w:rsid w:val="004D734F"/>
    <w:rsid w:val="004E3D6A"/>
    <w:rsid w:val="004F147F"/>
    <w:rsid w:val="004F759D"/>
    <w:rsid w:val="00520552"/>
    <w:rsid w:val="005438EA"/>
    <w:rsid w:val="005463E6"/>
    <w:rsid w:val="00547796"/>
    <w:rsid w:val="005548CA"/>
    <w:rsid w:val="005C2AC1"/>
    <w:rsid w:val="005C2B56"/>
    <w:rsid w:val="005D2C2A"/>
    <w:rsid w:val="005E0F63"/>
    <w:rsid w:val="00616D92"/>
    <w:rsid w:val="00622669"/>
    <w:rsid w:val="00634268"/>
    <w:rsid w:val="00662370"/>
    <w:rsid w:val="006820C8"/>
    <w:rsid w:val="00687E86"/>
    <w:rsid w:val="00692DD3"/>
    <w:rsid w:val="006A0640"/>
    <w:rsid w:val="006B6C8A"/>
    <w:rsid w:val="006C1B0F"/>
    <w:rsid w:val="006D2329"/>
    <w:rsid w:val="006E6B4B"/>
    <w:rsid w:val="00706BA5"/>
    <w:rsid w:val="00717246"/>
    <w:rsid w:val="00756072"/>
    <w:rsid w:val="00772751"/>
    <w:rsid w:val="0078273B"/>
    <w:rsid w:val="0078544F"/>
    <w:rsid w:val="007A1994"/>
    <w:rsid w:val="007F7070"/>
    <w:rsid w:val="00826C83"/>
    <w:rsid w:val="008432DF"/>
    <w:rsid w:val="00850C56"/>
    <w:rsid w:val="00853358"/>
    <w:rsid w:val="0086652B"/>
    <w:rsid w:val="008712FD"/>
    <w:rsid w:val="0088466D"/>
    <w:rsid w:val="008A0BD8"/>
    <w:rsid w:val="008A44D7"/>
    <w:rsid w:val="008C0C19"/>
    <w:rsid w:val="008E2C76"/>
    <w:rsid w:val="00900639"/>
    <w:rsid w:val="009064C1"/>
    <w:rsid w:val="00951474"/>
    <w:rsid w:val="009520CB"/>
    <w:rsid w:val="00980B74"/>
    <w:rsid w:val="00983A71"/>
    <w:rsid w:val="0098750F"/>
    <w:rsid w:val="009A57BA"/>
    <w:rsid w:val="009A6F1D"/>
    <w:rsid w:val="009B0F81"/>
    <w:rsid w:val="009D1017"/>
    <w:rsid w:val="009D3F44"/>
    <w:rsid w:val="009D4AE2"/>
    <w:rsid w:val="009E06A6"/>
    <w:rsid w:val="009E09AF"/>
    <w:rsid w:val="009E73DD"/>
    <w:rsid w:val="009F47A7"/>
    <w:rsid w:val="00A2150F"/>
    <w:rsid w:val="00A37CF2"/>
    <w:rsid w:val="00A47A68"/>
    <w:rsid w:val="00A50183"/>
    <w:rsid w:val="00A5048E"/>
    <w:rsid w:val="00A656CD"/>
    <w:rsid w:val="00A87E93"/>
    <w:rsid w:val="00AA5D0E"/>
    <w:rsid w:val="00AB4C39"/>
    <w:rsid w:val="00AD1277"/>
    <w:rsid w:val="00AF11DD"/>
    <w:rsid w:val="00AF1274"/>
    <w:rsid w:val="00AF25E7"/>
    <w:rsid w:val="00B0271F"/>
    <w:rsid w:val="00B255B7"/>
    <w:rsid w:val="00B475AB"/>
    <w:rsid w:val="00B50E2F"/>
    <w:rsid w:val="00B57C7F"/>
    <w:rsid w:val="00B85E73"/>
    <w:rsid w:val="00B903B7"/>
    <w:rsid w:val="00B946F9"/>
    <w:rsid w:val="00BA39FF"/>
    <w:rsid w:val="00BB6C53"/>
    <w:rsid w:val="00BD14BD"/>
    <w:rsid w:val="00BE5343"/>
    <w:rsid w:val="00BE5CD9"/>
    <w:rsid w:val="00C00EAF"/>
    <w:rsid w:val="00C17087"/>
    <w:rsid w:val="00C2134F"/>
    <w:rsid w:val="00C504DB"/>
    <w:rsid w:val="00C7096B"/>
    <w:rsid w:val="00C92126"/>
    <w:rsid w:val="00CB77A1"/>
    <w:rsid w:val="00CC0295"/>
    <w:rsid w:val="00D22FB5"/>
    <w:rsid w:val="00D77301"/>
    <w:rsid w:val="00D87718"/>
    <w:rsid w:val="00D97663"/>
    <w:rsid w:val="00E27A1B"/>
    <w:rsid w:val="00E3580F"/>
    <w:rsid w:val="00E81204"/>
    <w:rsid w:val="00EB31C9"/>
    <w:rsid w:val="00EB5599"/>
    <w:rsid w:val="00ED44A6"/>
    <w:rsid w:val="00F170D6"/>
    <w:rsid w:val="00F46D1B"/>
    <w:rsid w:val="00F86C34"/>
    <w:rsid w:val="00FA1894"/>
    <w:rsid w:val="00FA6CEC"/>
    <w:rsid w:val="00FC7A31"/>
    <w:rsid w:val="022A4DD4"/>
    <w:rsid w:val="09EB0BA2"/>
    <w:rsid w:val="0DA7592E"/>
    <w:rsid w:val="122C33F5"/>
    <w:rsid w:val="198801D8"/>
    <w:rsid w:val="226D35E0"/>
    <w:rsid w:val="3BDFF114"/>
    <w:rsid w:val="3F3BC471"/>
    <w:rsid w:val="3F3FFA1C"/>
    <w:rsid w:val="47D3405C"/>
    <w:rsid w:val="4EF769ED"/>
    <w:rsid w:val="4F6B15A3"/>
    <w:rsid w:val="4FDF9C9A"/>
    <w:rsid w:val="52B65560"/>
    <w:rsid w:val="542A32C2"/>
    <w:rsid w:val="547FEE20"/>
    <w:rsid w:val="55AF0F6B"/>
    <w:rsid w:val="55E746D7"/>
    <w:rsid w:val="56F73524"/>
    <w:rsid w:val="57FD3F9C"/>
    <w:rsid w:val="5BFCCFCB"/>
    <w:rsid w:val="5E3E6D70"/>
    <w:rsid w:val="5EFD30F0"/>
    <w:rsid w:val="5EFF4D73"/>
    <w:rsid w:val="61DD688D"/>
    <w:rsid w:val="6228695B"/>
    <w:rsid w:val="67FF116E"/>
    <w:rsid w:val="6E7F2FBB"/>
    <w:rsid w:val="6ECDD8C6"/>
    <w:rsid w:val="6FC7539B"/>
    <w:rsid w:val="6FFFB1B0"/>
    <w:rsid w:val="717FBA8D"/>
    <w:rsid w:val="75DF7D4D"/>
    <w:rsid w:val="77B64448"/>
    <w:rsid w:val="7BAB5F00"/>
    <w:rsid w:val="7EFFC94D"/>
    <w:rsid w:val="7F823293"/>
    <w:rsid w:val="7FCFA41A"/>
    <w:rsid w:val="7FF364B7"/>
    <w:rsid w:val="B2EE5BC9"/>
    <w:rsid w:val="BFBF19C1"/>
    <w:rsid w:val="BFDF32D0"/>
    <w:rsid w:val="DF2F2EB3"/>
    <w:rsid w:val="DFCDC2B3"/>
    <w:rsid w:val="E2EBE5F0"/>
    <w:rsid w:val="EBE101F2"/>
    <w:rsid w:val="EBF9CD29"/>
    <w:rsid w:val="F33BDC94"/>
    <w:rsid w:val="F5F4D548"/>
    <w:rsid w:val="F7FDA641"/>
    <w:rsid w:val="FACD551E"/>
    <w:rsid w:val="FDFF84D8"/>
    <w:rsid w:val="FEE70F92"/>
    <w:rsid w:val="FF693B19"/>
    <w:rsid w:val="FF792C5E"/>
    <w:rsid w:val="FFBB5A82"/>
    <w:rsid w:val="FFBBC910"/>
    <w:rsid w:val="FFCA8971"/>
    <w:rsid w:val="FFDB364A"/>
    <w:rsid w:val="FFF7C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9"/>
    <w:qFormat/>
    <w:uiPriority w:val="0"/>
    <w:pPr>
      <w:keepLines/>
      <w:widowControl/>
      <w:ind w:firstLine="640" w:firstLineChars="200"/>
      <w:jc w:val="left"/>
      <w:outlineLvl w:val="0"/>
    </w:pPr>
    <w:rPr>
      <w:rFonts w:eastAsia="黑体"/>
      <w:bCs/>
      <w:kern w:val="44"/>
      <w:szCs w:val="44"/>
    </w:rPr>
  </w:style>
  <w:style w:type="paragraph" w:styleId="4">
    <w:name w:val="heading 2"/>
    <w:basedOn w:val="1"/>
    <w:next w:val="1"/>
    <w:link w:val="32"/>
    <w:qFormat/>
    <w:uiPriority w:val="9"/>
    <w:pPr>
      <w:keepLines/>
      <w:widowControl/>
      <w:ind w:firstLine="640" w:firstLineChars="200"/>
      <w:outlineLvl w:val="1"/>
    </w:pPr>
    <w:rPr>
      <w:rFonts w:eastAsia="楷体_GB2312"/>
      <w:bCs/>
      <w:szCs w:val="32"/>
    </w:rPr>
  </w:style>
  <w:style w:type="paragraph" w:styleId="5">
    <w:name w:val="heading 3"/>
    <w:basedOn w:val="1"/>
    <w:next w:val="1"/>
    <w:link w:val="33"/>
    <w:qFormat/>
    <w:uiPriority w:val="9"/>
    <w:pPr>
      <w:keepNext/>
      <w:keepLines/>
      <w:spacing w:before="260" w:after="260" w:line="416" w:lineRule="auto"/>
      <w:outlineLvl w:val="2"/>
    </w:pPr>
    <w:rPr>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0"/>
    <w:rPr>
      <w:rFonts w:ascii="Calibri" w:hAnsi="Calibri" w:eastAsia="文星仿宋"/>
    </w:rPr>
  </w:style>
  <w:style w:type="paragraph" w:styleId="6">
    <w:name w:val="annotation text"/>
    <w:basedOn w:val="1"/>
    <w:link w:val="58"/>
    <w:unhideWhenUsed/>
    <w:qFormat/>
    <w:uiPriority w:val="99"/>
    <w:pPr>
      <w:jc w:val="left"/>
    </w:pPr>
    <w:rPr>
      <w:rFonts w:ascii="Calibri" w:hAnsi="Calibri" w:eastAsia="宋体"/>
      <w:sz w:val="21"/>
      <w:szCs w:val="22"/>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eastAsia="宋体" w:cs="Times New Roman"/>
      <w:szCs w:val="22"/>
    </w:rPr>
  </w:style>
  <w:style w:type="paragraph" w:styleId="9">
    <w:name w:val="Date"/>
    <w:basedOn w:val="1"/>
    <w:next w:val="1"/>
    <w:link w:val="26"/>
    <w:unhideWhenUsed/>
    <w:qFormat/>
    <w:uiPriority w:val="0"/>
    <w:pPr>
      <w:ind w:left="100" w:leftChars="2500"/>
    </w:pPr>
  </w:style>
  <w:style w:type="paragraph" w:styleId="10">
    <w:name w:val="Balloon Text"/>
    <w:basedOn w:val="1"/>
    <w:link w:val="24"/>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link w:val="57"/>
    <w:qFormat/>
    <w:uiPriority w:val="10"/>
    <w:pPr>
      <w:widowControl/>
      <w:adjustRightInd w:val="0"/>
      <w:snapToGrid w:val="0"/>
      <w:jc w:val="center"/>
      <w:outlineLvl w:val="0"/>
    </w:pPr>
    <w:rPr>
      <w:rFonts w:ascii="Cambria" w:hAnsi="Cambria" w:eastAsia="方正小标宋简体"/>
      <w:bCs/>
      <w:sz w:val="44"/>
      <w:szCs w:val="32"/>
    </w:rPr>
  </w:style>
  <w:style w:type="paragraph" w:styleId="15">
    <w:name w:val="annotation subject"/>
    <w:basedOn w:val="6"/>
    <w:next w:val="6"/>
    <w:link w:val="60"/>
    <w:qFormat/>
    <w:uiPriority w:val="0"/>
    <w:rPr>
      <w:rFonts w:ascii="Times New Roman" w:hAnsi="Times New Roman"/>
      <w:b/>
      <w:bCs/>
      <w:szCs w:val="24"/>
    </w:rPr>
  </w:style>
  <w:style w:type="paragraph" w:styleId="16">
    <w:name w:val="Body Text First Indent 2"/>
    <w:basedOn w:val="7"/>
    <w:qFormat/>
    <w:uiPriority w:val="99"/>
    <w:pPr>
      <w:ind w:firstLine="420" w:firstLineChars="200"/>
    </w:pPr>
    <w:rPr>
      <w:rFonts w:ascii="Times New Roman" w:hAnsi="Times New Roman" w:eastAsia="仿宋_GB2312" w:cs="Times New Roman"/>
      <w:sz w:val="32"/>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0"/>
    <w:rPr>
      <w:color w:val="0000FF"/>
      <w:u w:val="single"/>
    </w:rPr>
  </w:style>
  <w:style w:type="character" w:styleId="21">
    <w:name w:val="annotation reference"/>
    <w:qFormat/>
    <w:uiPriority w:val="0"/>
    <w:rPr>
      <w:sz w:val="21"/>
      <w:szCs w:val="21"/>
    </w:rPr>
  </w:style>
  <w:style w:type="paragraph" w:customStyle="1" w:styleId="22">
    <w:name w:val="NormalIndent"/>
    <w:basedOn w:val="1"/>
    <w:qFormat/>
    <w:uiPriority w:val="0"/>
    <w:pPr>
      <w:ind w:firstLine="420" w:firstLineChars="200"/>
      <w:jc w:val="both"/>
      <w:textAlignment w:val="baseline"/>
    </w:pPr>
  </w:style>
  <w:style w:type="character" w:customStyle="1" w:styleId="23">
    <w:name w:val="页眉 Char"/>
    <w:basedOn w:val="19"/>
    <w:link w:val="12"/>
    <w:qFormat/>
    <w:uiPriority w:val="99"/>
    <w:rPr>
      <w:rFonts w:ascii="Times New Roman" w:hAnsi="Times New Roman" w:eastAsia="宋体" w:cs="Times New Roman"/>
      <w:sz w:val="18"/>
      <w:szCs w:val="18"/>
    </w:rPr>
  </w:style>
  <w:style w:type="character" w:customStyle="1" w:styleId="24">
    <w:name w:val="批注框文本 Char"/>
    <w:basedOn w:val="19"/>
    <w:link w:val="10"/>
    <w:semiHidden/>
    <w:qFormat/>
    <w:uiPriority w:val="99"/>
    <w:rPr>
      <w:rFonts w:ascii="Times New Roman" w:hAnsi="Times New Roman" w:eastAsia="宋体" w:cs="Times New Roman"/>
      <w:sz w:val="18"/>
      <w:szCs w:val="18"/>
    </w:rPr>
  </w:style>
  <w:style w:type="character" w:customStyle="1" w:styleId="25">
    <w:name w:val="页脚 Char"/>
    <w:basedOn w:val="19"/>
    <w:link w:val="11"/>
    <w:qFormat/>
    <w:uiPriority w:val="99"/>
    <w:rPr>
      <w:rFonts w:ascii="Times New Roman" w:hAnsi="Times New Roman" w:eastAsia="宋体" w:cs="Times New Roman"/>
      <w:sz w:val="18"/>
      <w:szCs w:val="18"/>
    </w:rPr>
  </w:style>
  <w:style w:type="character" w:customStyle="1" w:styleId="26">
    <w:name w:val="日期 Char"/>
    <w:basedOn w:val="19"/>
    <w:link w:val="9"/>
    <w:qFormat/>
    <w:uiPriority w:val="0"/>
    <w:rPr>
      <w:rFonts w:ascii="Times New Roman" w:hAnsi="Times New Roman" w:eastAsia="宋体" w:cs="Times New Roman"/>
      <w:szCs w:val="24"/>
    </w:rPr>
  </w:style>
  <w:style w:type="character" w:customStyle="1" w:styleId="27">
    <w:name w:val="正文文本 Char"/>
    <w:basedOn w:val="19"/>
    <w:link w:val="2"/>
    <w:qFormat/>
    <w:uiPriority w:val="0"/>
    <w:rPr>
      <w:rFonts w:eastAsia="文星仿宋"/>
      <w:sz w:val="32"/>
      <w:szCs w:val="24"/>
    </w:rPr>
  </w:style>
  <w:style w:type="character" w:customStyle="1" w:styleId="28">
    <w:name w:val="正文文本 Char1"/>
    <w:basedOn w:val="19"/>
    <w:semiHidden/>
    <w:qFormat/>
    <w:uiPriority w:val="99"/>
    <w:rPr>
      <w:rFonts w:ascii="Times New Roman" w:hAnsi="Times New Roman" w:eastAsia="宋体" w:cs="Times New Roman"/>
      <w:szCs w:val="24"/>
    </w:rPr>
  </w:style>
  <w:style w:type="character" w:customStyle="1" w:styleId="29">
    <w:name w:val="标题 1 Char"/>
    <w:basedOn w:val="19"/>
    <w:link w:val="3"/>
    <w:qFormat/>
    <w:uiPriority w:val="0"/>
    <w:rPr>
      <w:rFonts w:ascii="Times New Roman" w:hAnsi="Times New Roman" w:eastAsia="黑体"/>
      <w:bCs/>
      <w:kern w:val="44"/>
      <w:sz w:val="32"/>
      <w:szCs w:val="44"/>
    </w:rPr>
  </w:style>
  <w:style w:type="character" w:customStyle="1" w:styleId="30">
    <w:name w:val="font111"/>
    <w:qFormat/>
    <w:uiPriority w:val="0"/>
    <w:rPr>
      <w:rFonts w:ascii="黑体" w:hAnsi="宋体" w:eastAsia="黑体" w:cs="黑体"/>
      <w:color w:val="000000"/>
      <w:sz w:val="24"/>
      <w:szCs w:val="24"/>
      <w:u w:val="none"/>
    </w:rPr>
  </w:style>
  <w:style w:type="paragraph" w:customStyle="1" w:styleId="31">
    <w:name w:val="Table Paragraph"/>
    <w:basedOn w:val="1"/>
    <w:qFormat/>
    <w:uiPriority w:val="1"/>
    <w:pPr>
      <w:autoSpaceDE w:val="0"/>
      <w:autoSpaceDN w:val="0"/>
      <w:adjustRightInd w:val="0"/>
      <w:jc w:val="left"/>
    </w:pPr>
    <w:rPr>
      <w:rFonts w:eastAsia="宋体"/>
      <w:kern w:val="0"/>
      <w:sz w:val="24"/>
    </w:rPr>
  </w:style>
  <w:style w:type="character" w:customStyle="1" w:styleId="32">
    <w:name w:val="标题 2 Char"/>
    <w:basedOn w:val="19"/>
    <w:link w:val="4"/>
    <w:qFormat/>
    <w:uiPriority w:val="9"/>
    <w:rPr>
      <w:rFonts w:ascii="Times New Roman" w:hAnsi="Times New Roman" w:eastAsia="楷体_GB2312"/>
      <w:bCs/>
      <w:kern w:val="2"/>
      <w:sz w:val="32"/>
      <w:szCs w:val="32"/>
    </w:rPr>
  </w:style>
  <w:style w:type="character" w:customStyle="1" w:styleId="33">
    <w:name w:val="标题 3 Char"/>
    <w:basedOn w:val="19"/>
    <w:link w:val="5"/>
    <w:qFormat/>
    <w:uiPriority w:val="9"/>
    <w:rPr>
      <w:rFonts w:ascii="Times New Roman" w:hAnsi="Times New Roman" w:eastAsia="仿宋_GB2312"/>
      <w:b/>
      <w:bCs/>
      <w:kern w:val="2"/>
      <w:sz w:val="32"/>
      <w:szCs w:val="32"/>
    </w:rPr>
  </w:style>
  <w:style w:type="character" w:customStyle="1" w:styleId="34">
    <w:name w:val="font191"/>
    <w:qFormat/>
    <w:uiPriority w:val="0"/>
    <w:rPr>
      <w:rFonts w:hint="eastAsia" w:ascii="宋体" w:hAnsi="宋体" w:eastAsia="宋体" w:cs="宋体"/>
      <w:color w:val="000000"/>
      <w:sz w:val="24"/>
      <w:szCs w:val="24"/>
      <w:u w:val="none"/>
    </w:rPr>
  </w:style>
  <w:style w:type="character" w:customStyle="1" w:styleId="35">
    <w:name w:val="页脚 Char1"/>
    <w:qFormat/>
    <w:uiPriority w:val="99"/>
    <w:rPr>
      <w:kern w:val="2"/>
      <w:sz w:val="18"/>
      <w:szCs w:val="18"/>
    </w:rPr>
  </w:style>
  <w:style w:type="character" w:customStyle="1" w:styleId="36">
    <w:name w:val="font21"/>
    <w:qFormat/>
    <w:uiPriority w:val="0"/>
    <w:rPr>
      <w:rFonts w:hint="eastAsia" w:ascii="仿宋_GB2312" w:eastAsia="仿宋_GB2312" w:cs="仿宋_GB2312"/>
      <w:color w:val="FF0000"/>
      <w:sz w:val="24"/>
      <w:szCs w:val="24"/>
      <w:u w:val="none"/>
    </w:rPr>
  </w:style>
  <w:style w:type="character" w:customStyle="1" w:styleId="37">
    <w:name w:val="标题 1 字符1"/>
    <w:qFormat/>
    <w:uiPriority w:val="0"/>
    <w:rPr>
      <w:rFonts w:ascii="Times New Roman" w:hAnsi="Times New Roman" w:eastAsia="宋体" w:cs="Times New Roman"/>
      <w:b/>
      <w:bCs/>
      <w:kern w:val="44"/>
      <w:sz w:val="44"/>
      <w:szCs w:val="44"/>
    </w:rPr>
  </w:style>
  <w:style w:type="character" w:customStyle="1" w:styleId="38">
    <w:name w:val="批注文字 Char1"/>
    <w:qFormat/>
    <w:uiPriority w:val="0"/>
    <w:rPr>
      <w:rFonts w:ascii="Times New Roman" w:hAnsi="Times New Roman"/>
      <w:kern w:val="2"/>
      <w:sz w:val="21"/>
      <w:szCs w:val="24"/>
    </w:rPr>
  </w:style>
  <w:style w:type="character" w:customStyle="1" w:styleId="39">
    <w:name w:val="标题 Char1"/>
    <w:qFormat/>
    <w:uiPriority w:val="10"/>
    <w:rPr>
      <w:rFonts w:ascii="Cambria" w:hAnsi="Cambria" w:cs="Times New Roman"/>
      <w:b/>
      <w:bCs/>
      <w:kern w:val="2"/>
      <w:sz w:val="32"/>
      <w:szCs w:val="32"/>
    </w:rPr>
  </w:style>
  <w:style w:type="character" w:customStyle="1" w:styleId="40">
    <w:name w:val="font101"/>
    <w:qFormat/>
    <w:uiPriority w:val="0"/>
    <w:rPr>
      <w:rFonts w:hint="default" w:ascii="Times New Roman" w:hAnsi="Times New Roman" w:cs="Times New Roman"/>
      <w:color w:val="000000"/>
      <w:sz w:val="24"/>
      <w:szCs w:val="24"/>
      <w:u w:val="none"/>
    </w:rPr>
  </w:style>
  <w:style w:type="character" w:customStyle="1" w:styleId="41">
    <w:name w:val="font131"/>
    <w:basedOn w:val="19"/>
    <w:qFormat/>
    <w:uiPriority w:val="0"/>
    <w:rPr>
      <w:rFonts w:hint="eastAsia" w:ascii="黑体" w:eastAsia="黑体" w:cs="黑体"/>
      <w:color w:val="000000"/>
      <w:sz w:val="22"/>
      <w:szCs w:val="22"/>
      <w:u w:val="none"/>
    </w:rPr>
  </w:style>
  <w:style w:type="character" w:customStyle="1" w:styleId="42">
    <w:name w:val="font11"/>
    <w:basedOn w:val="19"/>
    <w:qFormat/>
    <w:uiPriority w:val="0"/>
    <w:rPr>
      <w:rFonts w:ascii="仿宋_GB2312" w:eastAsia="仿宋_GB2312" w:cs="仿宋_GB2312"/>
      <w:color w:val="000000"/>
      <w:sz w:val="20"/>
      <w:szCs w:val="20"/>
      <w:u w:val="none"/>
    </w:rPr>
  </w:style>
  <w:style w:type="character" w:customStyle="1" w:styleId="43">
    <w:name w:val="font161"/>
    <w:basedOn w:val="19"/>
    <w:qFormat/>
    <w:uiPriority w:val="0"/>
    <w:rPr>
      <w:rFonts w:ascii="方正小标宋简体" w:hAnsi="方正小标宋简体" w:eastAsia="方正小标宋简体" w:cs="方正小标宋简体"/>
      <w:color w:val="000000"/>
      <w:sz w:val="40"/>
      <w:szCs w:val="40"/>
      <w:u w:val="none"/>
    </w:rPr>
  </w:style>
  <w:style w:type="character" w:customStyle="1" w:styleId="44">
    <w:name w:val="font151"/>
    <w:basedOn w:val="19"/>
    <w:qFormat/>
    <w:uiPriority w:val="0"/>
    <w:rPr>
      <w:rFonts w:hint="eastAsia" w:ascii="黑体" w:eastAsia="黑体" w:cs="黑体"/>
      <w:color w:val="000000"/>
      <w:sz w:val="22"/>
      <w:szCs w:val="22"/>
      <w:u w:val="none"/>
    </w:rPr>
  </w:style>
  <w:style w:type="character" w:customStyle="1" w:styleId="45">
    <w:name w:val="font31"/>
    <w:basedOn w:val="19"/>
    <w:qFormat/>
    <w:uiPriority w:val="0"/>
    <w:rPr>
      <w:rFonts w:hint="default" w:ascii="Times New Roman" w:hAnsi="Times New Roman" w:cs="Times New Roman"/>
      <w:color w:val="000000"/>
      <w:sz w:val="20"/>
      <w:szCs w:val="20"/>
      <w:u w:val="none"/>
    </w:rPr>
  </w:style>
  <w:style w:type="character" w:customStyle="1" w:styleId="46">
    <w:name w:val="font121"/>
    <w:basedOn w:val="19"/>
    <w:qFormat/>
    <w:uiPriority w:val="0"/>
    <w:rPr>
      <w:rFonts w:hint="eastAsia" w:ascii="黑体" w:eastAsia="黑体" w:cs="黑体"/>
      <w:color w:val="000000"/>
      <w:sz w:val="20"/>
      <w:szCs w:val="20"/>
      <w:u w:val="none"/>
    </w:rPr>
  </w:style>
  <w:style w:type="character" w:customStyle="1" w:styleId="47">
    <w:name w:val="font71"/>
    <w:basedOn w:val="19"/>
    <w:qFormat/>
    <w:uiPriority w:val="0"/>
    <w:rPr>
      <w:rFonts w:ascii="仿宋" w:hAnsi="仿宋" w:eastAsia="仿宋" w:cs="仿宋"/>
      <w:color w:val="000000"/>
      <w:sz w:val="20"/>
      <w:szCs w:val="20"/>
      <w:u w:val="none"/>
    </w:rPr>
  </w:style>
  <w:style w:type="character" w:customStyle="1" w:styleId="48">
    <w:name w:val="批注主题 Char"/>
    <w:basedOn w:val="49"/>
    <w:semiHidden/>
    <w:qFormat/>
    <w:uiPriority w:val="99"/>
    <w:rPr>
      <w:b/>
      <w:bCs/>
    </w:rPr>
  </w:style>
  <w:style w:type="character" w:customStyle="1" w:styleId="49">
    <w:name w:val="批注文字 Char"/>
    <w:basedOn w:val="19"/>
    <w:link w:val="6"/>
    <w:qFormat/>
    <w:uiPriority w:val="99"/>
    <w:rPr>
      <w:kern w:val="2"/>
      <w:sz w:val="21"/>
      <w:szCs w:val="22"/>
    </w:rPr>
  </w:style>
  <w:style w:type="character" w:customStyle="1" w:styleId="50">
    <w:name w:val="标题 Char"/>
    <w:basedOn w:val="19"/>
    <w:link w:val="14"/>
    <w:qFormat/>
    <w:uiPriority w:val="10"/>
    <w:rPr>
      <w:rFonts w:ascii="Cambria" w:hAnsi="Cambria" w:eastAsia="方正小标宋简体"/>
      <w:bCs/>
      <w:kern w:val="2"/>
      <w:sz w:val="44"/>
      <w:szCs w:val="32"/>
    </w:rPr>
  </w:style>
  <w:style w:type="character" w:customStyle="1" w:styleId="51">
    <w:name w:val="批注主题 Char1"/>
    <w:link w:val="15"/>
    <w:qFormat/>
    <w:uiPriority w:val="0"/>
    <w:rPr>
      <w:rFonts w:ascii="Times New Roman" w:hAnsi="Times New Roman"/>
      <w:b/>
      <w:bCs/>
      <w:kern w:val="2"/>
      <w:sz w:val="21"/>
      <w:szCs w:val="24"/>
    </w:rPr>
  </w:style>
  <w:style w:type="character" w:customStyle="1" w:styleId="52">
    <w:name w:val="批注框文本 Char1"/>
    <w:basedOn w:val="19"/>
    <w:qFormat/>
    <w:uiPriority w:val="99"/>
    <w:rPr>
      <w:rFonts w:ascii="Calibri" w:hAnsi="Calibri" w:eastAsia="仿宋_GB2312" w:cs="Times New Roman"/>
      <w:kern w:val="2"/>
      <w:sz w:val="18"/>
      <w:szCs w:val="18"/>
    </w:rPr>
  </w:style>
  <w:style w:type="character" w:customStyle="1" w:styleId="53">
    <w:name w:val="font51"/>
    <w:qFormat/>
    <w:uiPriority w:val="0"/>
    <w:rPr>
      <w:rFonts w:hint="eastAsia" w:ascii="仿宋_GB2312" w:eastAsia="仿宋_GB2312" w:cs="仿宋_GB2312"/>
      <w:color w:val="000000"/>
      <w:sz w:val="24"/>
      <w:szCs w:val="24"/>
      <w:u w:val="none"/>
    </w:rPr>
  </w:style>
  <w:style w:type="character" w:customStyle="1" w:styleId="54">
    <w:name w:val="font01"/>
    <w:qFormat/>
    <w:uiPriority w:val="0"/>
    <w:rPr>
      <w:rFonts w:hint="eastAsia" w:ascii="仿宋_GB2312" w:eastAsia="仿宋_GB2312" w:cs="仿宋_GB2312"/>
      <w:color w:val="000000"/>
      <w:sz w:val="24"/>
      <w:szCs w:val="24"/>
      <w:u w:val="none"/>
      <w:vertAlign w:val="subscript"/>
    </w:rPr>
  </w:style>
  <w:style w:type="character" w:customStyle="1" w:styleId="55">
    <w:name w:val="font171"/>
    <w:qFormat/>
    <w:uiPriority w:val="0"/>
    <w:rPr>
      <w:rFonts w:hint="default" w:ascii="Times New Roman" w:hAnsi="Times New Roman" w:cs="Times New Roman"/>
      <w:color w:val="000000"/>
      <w:sz w:val="22"/>
      <w:szCs w:val="22"/>
      <w:u w:val="none"/>
    </w:rPr>
  </w:style>
  <w:style w:type="paragraph" w:customStyle="1" w:styleId="56">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57">
    <w:name w:val="标题 Char2"/>
    <w:basedOn w:val="19"/>
    <w:link w:val="14"/>
    <w:qFormat/>
    <w:uiPriority w:val="10"/>
    <w:rPr>
      <w:rFonts w:ascii="Cambria" w:hAnsi="Cambria" w:cs="Times New Roman"/>
      <w:b/>
      <w:bCs/>
      <w:kern w:val="2"/>
      <w:sz w:val="32"/>
      <w:szCs w:val="32"/>
    </w:rPr>
  </w:style>
  <w:style w:type="character" w:customStyle="1" w:styleId="58">
    <w:name w:val="批注文字 Char2"/>
    <w:basedOn w:val="19"/>
    <w:link w:val="6"/>
    <w:semiHidden/>
    <w:qFormat/>
    <w:uiPriority w:val="99"/>
    <w:rPr>
      <w:rFonts w:ascii="Times New Roman" w:hAnsi="Times New Roman" w:eastAsia="仿宋_GB2312"/>
      <w:kern w:val="2"/>
      <w:sz w:val="32"/>
      <w:szCs w:val="24"/>
    </w:rPr>
  </w:style>
  <w:style w:type="paragraph" w:customStyle="1" w:styleId="59">
    <w:name w:val="修订2"/>
    <w:semiHidden/>
    <w:qFormat/>
    <w:uiPriority w:val="99"/>
    <w:rPr>
      <w:rFonts w:ascii="Calibri" w:hAnsi="Calibri" w:eastAsia="仿宋_GB2312" w:cs="Times New Roman"/>
      <w:kern w:val="2"/>
      <w:sz w:val="32"/>
      <w:szCs w:val="22"/>
      <w:lang w:val="en-US" w:eastAsia="zh-CN" w:bidi="ar-SA"/>
    </w:rPr>
  </w:style>
  <w:style w:type="character" w:customStyle="1" w:styleId="60">
    <w:name w:val="批注主题 Char2"/>
    <w:basedOn w:val="58"/>
    <w:link w:val="15"/>
    <w:semiHidden/>
    <w:qFormat/>
    <w:uiPriority w:val="99"/>
    <w:rPr>
      <w:b/>
      <w:bCs/>
    </w:rPr>
  </w:style>
  <w:style w:type="paragraph" w:customStyle="1" w:styleId="61">
    <w:name w:val="Default"/>
    <w:qFormat/>
    <w:uiPriority w:val="0"/>
    <w:pPr>
      <w:widowControl w:val="0"/>
      <w:autoSpaceDE w:val="0"/>
      <w:autoSpaceDN w:val="0"/>
      <w:adjustRightInd w:val="0"/>
    </w:pPr>
    <w:rPr>
      <w:rFonts w:ascii="华文中宋" w:hAnsi="华文中宋" w:eastAsia="宋体"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2444</Words>
  <Characters>2516</Characters>
  <Lines>25</Lines>
  <Paragraphs>7</Paragraphs>
  <TotalTime>21</TotalTime>
  <ScaleCrop>false</ScaleCrop>
  <LinksUpToDate>false</LinksUpToDate>
  <CharactersWithSpaces>2516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2020-10-30T16:05:00Z</dcterms:created>
  <dc:creator>usq</dc:creator>
  <cp:lastModifiedBy>安静</cp:lastModifiedBy>
  <cp:lastPrinted>2021-01-15T23:56:00Z</cp:lastPrinted>
  <dcterms:modified xsi:type="dcterms:W3CDTF">2025-03-19T09:21:31Z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eyJoZGlkIjoiZWI0MzVkYTQ5MTZhNDRkMDVkODc3ZDJiZmE5ZjZjNjciLCJ1c2VySWQiOiIzNTA4NDMwMjUifQ==</vt:lpwstr>
  </property>
  <property fmtid="{D5CDD505-2E9C-101B-9397-08002B2CF9AE}" pid="4" name="ICV">
    <vt:lpwstr>1033A1BFEBBA47DE9B6514B9B585A1EE_12</vt:lpwstr>
  </property>
</Properties>
</file>