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auto"/>
          <w:sz w:val="44"/>
          <w:szCs w:val="44"/>
          <w:highlight w:val="none"/>
          <w:u w:val="none" w:color="auto"/>
          <w:lang w:val="en-US" w:eastAsia="zh-CN"/>
        </w:rPr>
      </w:pPr>
      <w:bookmarkStart w:id="0" w:name="OLE_LINK1"/>
      <w:r>
        <w:rPr>
          <w:rFonts w:hint="eastAsia" w:ascii="Times New Roman" w:hAnsi="Times New Roman" w:eastAsia="方正小标宋简体" w:cs="Times New Roman"/>
          <w:color w:val="auto"/>
          <w:sz w:val="44"/>
          <w:szCs w:val="44"/>
          <w:highlight w:val="none"/>
          <w:u w:val="none" w:color="auto"/>
          <w:lang w:val="en-US" w:eastAsia="zh-CN"/>
        </w:rPr>
        <w:t>2025年天津市河东区卫生健康工作要点</w:t>
      </w:r>
    </w:p>
    <w:bookmarkEnd w:id="0"/>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 w:val="32"/>
          <w:szCs w:val="32"/>
        </w:rPr>
      </w:pPr>
    </w:p>
    <w:p>
      <w:pPr>
        <w:pStyle w:val="8"/>
        <w:keepNext w:val="0"/>
        <w:keepLines w:val="0"/>
        <w:pageBreakBefore w:val="0"/>
        <w:kinsoku/>
        <w:wordWrap/>
        <w:overflowPunct/>
        <w:topLinePunct w:val="0"/>
        <w:autoSpaceDN/>
        <w:bidi w:val="0"/>
        <w:snapToGrid/>
        <w:spacing w:after="0" w:line="560" w:lineRule="exact"/>
        <w:ind w:firstLine="640" w:firstLineChars="200"/>
        <w:jc w:val="both"/>
        <w:textAlignment w:val="auto"/>
        <w:rPr>
          <w:rFonts w:ascii="Times New Roman" w:hAnsi="Times New Roman" w:eastAsia="仿宋_GB2312" w:cs="仿宋_GB2312"/>
          <w:color w:val="auto"/>
          <w:kern w:val="0"/>
          <w:sz w:val="32"/>
          <w:szCs w:val="32"/>
          <w:highlight w:val="none"/>
        </w:rPr>
      </w:pPr>
      <w:r>
        <w:rPr>
          <w:rFonts w:ascii="Times New Roman" w:hAnsi="Times New Roman" w:eastAsia="仿宋_GB2312" w:cs="Times New Roman"/>
          <w:color w:val="auto"/>
          <w:kern w:val="0"/>
          <w:sz w:val="32"/>
          <w:szCs w:val="32"/>
          <w:highlight w:val="none"/>
        </w:rPr>
        <w:t>2025</w:t>
      </w:r>
      <w:r>
        <w:rPr>
          <w:rFonts w:hint="eastAsia" w:ascii="Times New Roman" w:hAnsi="Times New Roman" w:eastAsia="仿宋_GB2312" w:cs="Times New Roman"/>
          <w:color w:val="auto"/>
          <w:kern w:val="0"/>
          <w:sz w:val="32"/>
          <w:szCs w:val="32"/>
          <w:highlight w:val="none"/>
        </w:rPr>
        <w:t>年是“十四五”规划收官之年，是进一步全面深化改革、奋力谱写中国式现代化天津篇章的重要一年。要坚持以习近平新时代中国特色社会主义思想为指导，全面贯彻落实党的二十大和二十届三中全会精神以及中央经济工作会议精神，深入落实习近平总书记视察天津重要讲话精神和关于健康中国建设的重要论述精神，全面贯彻新时代党的卫生与健康工作方针，坚持稳中求进工作总基调，按照</w:t>
      </w:r>
      <w:r>
        <w:rPr>
          <w:rFonts w:hint="eastAsia" w:ascii="Times New Roman" w:hAnsi="Times New Roman" w:eastAsia="仿宋_GB2312" w:cs="仿宋_GB2312"/>
          <w:color w:val="auto"/>
          <w:kern w:val="0"/>
          <w:sz w:val="32"/>
          <w:szCs w:val="32"/>
          <w:highlight w:val="none"/>
        </w:rPr>
        <w:t>“12333”工作思路（即：以党建引领为核心；聚焦医疗服务体系与公卫安全体系建设；提升医疗服务、人才队伍、设施建设能力；关怀妇幼、老年人与职业人群；强化卫生监管、医疗应急、安全生产保障），推动机关由专业型向治理型转变，推动基层医疗机构由治病型向健康型转型，以实际行动服务高质量发展“十项行动”、“三新”、“三量”工作，确保高质量完成“十四五”规划目标任务，为实现“十五五”良好开局打牢坚实健康基础。</w:t>
      </w:r>
    </w:p>
    <w:p>
      <w:pPr>
        <w:pStyle w:val="8"/>
        <w:keepNext w:val="0"/>
        <w:keepLines w:val="0"/>
        <w:pageBreakBefore w:val="0"/>
        <w:kinsoku/>
        <w:wordWrap/>
        <w:overflowPunct/>
        <w:topLinePunct w:val="0"/>
        <w:autoSpaceDN/>
        <w:bidi w:val="0"/>
        <w:snapToGrid/>
        <w:spacing w:after="0" w:line="560" w:lineRule="exact"/>
        <w:ind w:firstLine="640" w:firstLineChars="200"/>
        <w:jc w:val="both"/>
        <w:textAlignment w:val="auto"/>
        <w:rPr>
          <w:rFonts w:hint="eastAsia" w:ascii="Times New Roman" w:hAnsi="Times New Roman" w:eastAsia="黑体" w:cs="黑体"/>
          <w:b w:val="0"/>
          <w:bCs w:val="0"/>
          <w:color w:val="auto"/>
          <w:kern w:val="2"/>
          <w:sz w:val="32"/>
          <w:szCs w:val="32"/>
          <w:highlight w:val="none"/>
          <w:u w:val="none" w:color="auto"/>
          <w:lang w:val="en" w:eastAsia="zh-CN" w:bidi="ar-SA"/>
        </w:rPr>
      </w:pPr>
      <w:r>
        <w:rPr>
          <w:rFonts w:hint="eastAsia" w:eastAsia="黑体" w:cs="黑体"/>
          <w:b w:val="0"/>
          <w:bCs w:val="0"/>
          <w:color w:val="auto"/>
          <w:kern w:val="2"/>
          <w:sz w:val="32"/>
          <w:szCs w:val="32"/>
          <w:highlight w:val="none"/>
          <w:u w:val="none" w:color="auto"/>
          <w:lang w:val="en-US" w:eastAsia="zh-CN" w:bidi="ar-SA"/>
        </w:rPr>
        <w:t>一</w:t>
      </w:r>
      <w:r>
        <w:rPr>
          <w:rFonts w:hint="eastAsia" w:eastAsia="黑体" w:cs="黑体"/>
          <w:b w:val="0"/>
          <w:bCs w:val="0"/>
          <w:color w:val="auto"/>
          <w:kern w:val="2"/>
          <w:sz w:val="32"/>
          <w:szCs w:val="32"/>
          <w:highlight w:val="none"/>
          <w:u w:val="none" w:color="auto"/>
          <w:lang w:val="en" w:eastAsia="zh-CN" w:bidi="ar-SA"/>
        </w:rPr>
        <w:t>、</w:t>
      </w:r>
      <w:r>
        <w:rPr>
          <w:rFonts w:hint="eastAsia" w:ascii="Times New Roman" w:hAnsi="Times New Roman" w:eastAsia="黑体" w:cs="黑体"/>
          <w:b w:val="0"/>
          <w:bCs w:val="0"/>
          <w:color w:val="auto"/>
          <w:kern w:val="2"/>
          <w:sz w:val="32"/>
          <w:szCs w:val="32"/>
          <w:highlight w:val="none"/>
          <w:u w:val="none" w:color="auto"/>
          <w:lang w:val="en" w:eastAsia="zh-CN" w:bidi="ar-SA"/>
        </w:rPr>
        <w:t>锚定夯实基础、筑牢根基，构建卫生健康事业长效机制</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eastAsia="楷体_GB2312" w:cs="楷体_GB2312"/>
          <w:b/>
          <w:bCs/>
          <w:color w:val="auto"/>
          <w:kern w:val="2"/>
          <w:sz w:val="32"/>
          <w:szCs w:val="32"/>
          <w:highlight w:val="none"/>
          <w:u w:val="none" w:color="auto"/>
          <w:lang w:val="en-US" w:eastAsia="zh-CN" w:bidi="ar-SA"/>
        </w:rPr>
        <w:t>（一）统筹基础设施建设。</w:t>
      </w:r>
      <w:r>
        <w:rPr>
          <w:rFonts w:hint="eastAsia" w:ascii="Times New Roman" w:hAnsi="Times New Roman" w:eastAsia="仿宋_GB2312" w:cs="仿宋_GB2312"/>
          <w:color w:val="auto"/>
          <w:sz w:val="32"/>
          <w:szCs w:val="32"/>
          <w:highlight w:val="none"/>
        </w:rPr>
        <w:t>坚持规划先行，</w:t>
      </w:r>
      <w:r>
        <w:rPr>
          <w:rFonts w:hint="eastAsia" w:eastAsia="仿宋_GB2312" w:cs="仿宋_GB2312"/>
          <w:color w:val="auto"/>
          <w:sz w:val="32"/>
          <w:szCs w:val="32"/>
          <w:highlight w:val="none"/>
        </w:rPr>
        <w:t>高质量编制</w:t>
      </w:r>
      <w:r>
        <w:rPr>
          <w:rFonts w:hint="eastAsia" w:ascii="Times New Roman" w:hAnsi="Times New Roman" w:eastAsia="仿宋_GB2312" w:cs="仿宋_GB2312"/>
          <w:color w:val="auto"/>
          <w:sz w:val="32"/>
          <w:szCs w:val="32"/>
          <w:highlight w:val="none"/>
        </w:rPr>
        <w:t>《河东区医疗卫生设施布局专项规划》《河东区卫生健康事业发展十五五规划》，进一步促进区域内基层医疗资源均衡布局，加快大直沽街社区卫生服务中心提升改造项目投入使用。推动卫生健康事业发展与产业发展相融合，推动数字健康产业发展，</w:t>
      </w:r>
      <w:r>
        <w:rPr>
          <w:rFonts w:hint="eastAsia" w:eastAsia="仿宋_GB2312" w:cs="仿宋_GB2312"/>
          <w:color w:val="auto"/>
          <w:sz w:val="32"/>
          <w:szCs w:val="32"/>
          <w:highlight w:val="none"/>
          <w:lang w:eastAsia="zh-CN"/>
        </w:rPr>
        <w:t>加快</w:t>
      </w:r>
      <w:r>
        <w:rPr>
          <w:rFonts w:hint="eastAsia" w:ascii="Times New Roman" w:hAnsi="Times New Roman" w:eastAsia="仿宋_GB2312" w:cs="仿宋_GB2312"/>
          <w:color w:val="auto"/>
          <w:sz w:val="32"/>
          <w:szCs w:val="32"/>
          <w:highlight w:val="none"/>
        </w:rPr>
        <w:t>推进河东区中医医院建设，积极推动河东区智慧健康城区规划与实施。</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eastAsia="楷体_GB2312" w:cs="楷体_GB2312"/>
          <w:b/>
          <w:bCs/>
          <w:color w:val="auto"/>
          <w:kern w:val="2"/>
          <w:sz w:val="32"/>
          <w:szCs w:val="32"/>
          <w:highlight w:val="none"/>
          <w:u w:val="none" w:color="auto"/>
          <w:lang w:val="en-US" w:eastAsia="zh-CN" w:bidi="ar-SA"/>
        </w:rPr>
        <w:t>（二）提升人才队伍支撑。</w:t>
      </w:r>
      <w:r>
        <w:rPr>
          <w:rFonts w:hint="eastAsia" w:ascii="Times New Roman" w:hAnsi="Times New Roman" w:eastAsia="仿宋_GB2312" w:cs="仿宋_GB2312"/>
          <w:color w:val="auto"/>
          <w:sz w:val="32"/>
          <w:szCs w:val="32"/>
          <w:highlight w:val="none"/>
        </w:rPr>
        <w:t>加强卫生专技和管理人才引进力度，进一步加强人才素质培养，整合优质专业资源，加强系统内外交流学习，做好基层卫生适宜人才能力提升“4+4+2”培训，抓好市、区级大医院医师帮扶基层项目。统筹优秀基层干部轮岗实践锻炼工作。</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ascii="Times New Roman" w:hAnsi="Times New Roman" w:eastAsia="仿宋_GB2312" w:cs="仿宋_GB2312"/>
          <w:b/>
          <w:bCs/>
          <w:color w:val="auto"/>
          <w:spacing w:val="8"/>
          <w:kern w:val="0"/>
          <w:sz w:val="32"/>
          <w:szCs w:val="32"/>
          <w:highlight w:val="none"/>
        </w:rPr>
      </w:pPr>
      <w:r>
        <w:rPr>
          <w:rFonts w:hint="eastAsia" w:eastAsia="楷体_GB2312" w:cs="楷体_GB2312"/>
          <w:b/>
          <w:bCs/>
          <w:color w:val="auto"/>
          <w:kern w:val="2"/>
          <w:sz w:val="32"/>
          <w:szCs w:val="32"/>
          <w:highlight w:val="none"/>
          <w:u w:val="none" w:color="auto"/>
          <w:lang w:val="en-US" w:eastAsia="zh-CN" w:bidi="ar-SA"/>
        </w:rPr>
        <w:t>（三）强化安全生产保障。</w:t>
      </w:r>
      <w:r>
        <w:rPr>
          <w:rFonts w:hint="eastAsia" w:ascii="Times New Roman" w:hAnsi="Times New Roman" w:eastAsia="仿宋_GB2312" w:cs="仿宋_GB2312"/>
          <w:color w:val="auto"/>
          <w:sz w:val="32"/>
          <w:szCs w:val="32"/>
          <w:highlight w:val="none"/>
          <w:shd w:val="clear" w:color="auto" w:fill="FFFFFF"/>
        </w:rPr>
        <w:t>进一步完善</w:t>
      </w:r>
      <w:r>
        <w:rPr>
          <w:rFonts w:hint="eastAsia" w:ascii="Times New Roman" w:hAnsi="Times New Roman" w:eastAsia="仿宋_GB2312" w:cs="楷体_GB2312"/>
          <w:color w:val="auto"/>
          <w:sz w:val="32"/>
          <w:szCs w:val="32"/>
          <w:highlight w:val="none"/>
          <w:shd w:val="clear" w:color="auto" w:fill="FFFFFF"/>
        </w:rPr>
        <w:t>安全生产领导协调机制，压实安全生产监管责任。</w:t>
      </w:r>
      <w:r>
        <w:rPr>
          <w:rFonts w:ascii="Times New Roman" w:hAnsi="Times New Roman" w:eastAsia="仿宋_GB2312" w:cs="楷体_GB2312"/>
          <w:color w:val="auto"/>
          <w:sz w:val="32"/>
          <w:szCs w:val="32"/>
          <w:highlight w:val="none"/>
          <w:shd w:val="clear" w:color="auto" w:fill="FFFFFF"/>
        </w:rPr>
        <w:t>深化安全生产宣传教育</w:t>
      </w:r>
      <w:r>
        <w:rPr>
          <w:rFonts w:hint="eastAsia" w:ascii="Times New Roman" w:hAnsi="Times New Roman" w:eastAsia="仿宋_GB2312" w:cs="楷体_GB2312"/>
          <w:color w:val="auto"/>
          <w:sz w:val="32"/>
          <w:szCs w:val="32"/>
          <w:highlight w:val="none"/>
          <w:shd w:val="clear" w:color="auto" w:fill="FFFFFF"/>
        </w:rPr>
        <w:t>，</w:t>
      </w:r>
      <w:r>
        <w:rPr>
          <w:rFonts w:ascii="Times New Roman" w:hAnsi="Times New Roman" w:eastAsia="仿宋_GB2312" w:cs="楷体_GB2312"/>
          <w:color w:val="auto"/>
          <w:sz w:val="32"/>
          <w:szCs w:val="32"/>
          <w:highlight w:val="none"/>
          <w:shd w:val="clear" w:color="auto" w:fill="FFFFFF"/>
        </w:rPr>
        <w:t>紧盯三类重点人员教育</w:t>
      </w:r>
      <w:r>
        <w:rPr>
          <w:rFonts w:hint="eastAsia" w:ascii="Times New Roman" w:hAnsi="Times New Roman" w:eastAsia="仿宋_GB2312" w:cs="楷体_GB2312"/>
          <w:color w:val="auto"/>
          <w:sz w:val="32"/>
          <w:szCs w:val="32"/>
          <w:highlight w:val="none"/>
          <w:shd w:val="clear" w:color="auto" w:fill="FFFFFF"/>
        </w:rPr>
        <w:t>培训</w:t>
      </w:r>
      <w:r>
        <w:rPr>
          <w:rFonts w:ascii="Times New Roman" w:hAnsi="Times New Roman" w:eastAsia="仿宋_GB2312" w:cs="楷体_GB2312"/>
          <w:color w:val="auto"/>
          <w:sz w:val="32"/>
          <w:szCs w:val="32"/>
          <w:highlight w:val="none"/>
          <w:shd w:val="clear" w:color="auto" w:fill="FFFFFF"/>
        </w:rPr>
        <w:t>，及时发布安全风险预警提示，营造“人人讲安全、</w:t>
      </w:r>
      <w:r>
        <w:rPr>
          <w:rFonts w:hint="eastAsia" w:ascii="Times New Roman" w:hAnsi="Times New Roman" w:eastAsia="仿宋_GB2312" w:cs="楷体_GB2312"/>
          <w:color w:val="auto"/>
          <w:sz w:val="32"/>
          <w:szCs w:val="32"/>
          <w:highlight w:val="none"/>
          <w:shd w:val="clear" w:color="auto" w:fill="FFFFFF"/>
        </w:rPr>
        <w:t>个个</w:t>
      </w:r>
      <w:r>
        <w:rPr>
          <w:rFonts w:ascii="Times New Roman" w:hAnsi="Times New Roman" w:eastAsia="仿宋_GB2312" w:cs="楷体_GB2312"/>
          <w:color w:val="auto"/>
          <w:sz w:val="32"/>
          <w:szCs w:val="32"/>
          <w:highlight w:val="none"/>
          <w:shd w:val="clear" w:color="auto" w:fill="FFFFFF"/>
        </w:rPr>
        <w:t>会应急”的良好氛围。加大安全隐患排查治理</w:t>
      </w:r>
      <w:r>
        <w:rPr>
          <w:rFonts w:hint="eastAsia" w:ascii="Times New Roman" w:hAnsi="Times New Roman" w:eastAsia="仿宋_GB2312" w:cs="楷体_GB2312"/>
          <w:color w:val="auto"/>
          <w:sz w:val="32"/>
          <w:szCs w:val="32"/>
          <w:highlight w:val="none"/>
          <w:shd w:val="clear" w:color="auto" w:fill="FFFFFF"/>
        </w:rPr>
        <w:t>，强化医疗卫生机构安全生产逐级督查督导机制，落实“单位自查-网格巡查-领导督查-专家检查”四级督导检查。</w:t>
      </w:r>
      <w:r>
        <w:rPr>
          <w:rFonts w:ascii="Times New Roman" w:hAnsi="Times New Roman" w:eastAsia="仿宋_GB2312" w:cs="楷体_GB2312"/>
          <w:color w:val="auto"/>
          <w:sz w:val="32"/>
          <w:szCs w:val="32"/>
          <w:highlight w:val="none"/>
          <w:shd w:val="clear" w:color="auto" w:fill="FFFFFF"/>
        </w:rPr>
        <w:t>修订完善各类安全生产应急预案，加强应急演练活动的组织和实施。</w:t>
      </w:r>
    </w:p>
    <w:p>
      <w:pPr>
        <w:pStyle w:val="8"/>
        <w:keepNext w:val="0"/>
        <w:keepLines w:val="0"/>
        <w:pageBreakBefore w:val="0"/>
        <w:kinsoku/>
        <w:wordWrap/>
        <w:overflowPunct/>
        <w:topLinePunct w:val="0"/>
        <w:autoSpaceDN/>
        <w:bidi w:val="0"/>
        <w:snapToGrid/>
        <w:spacing w:after="0" w:line="560" w:lineRule="exact"/>
        <w:ind w:firstLine="640" w:firstLineChars="200"/>
        <w:jc w:val="both"/>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rPr>
        <w:t>锚定优化管理、强化服务，推动卫生健康事业高质量发展</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仿宋_GB2312"/>
          <w:color w:val="auto"/>
          <w:spacing w:val="8"/>
          <w:kern w:val="0"/>
          <w:sz w:val="32"/>
          <w:szCs w:val="32"/>
          <w:highlight w:val="none"/>
        </w:rPr>
      </w:pPr>
      <w:r>
        <w:rPr>
          <w:rFonts w:hint="eastAsia" w:eastAsia="楷体_GB2312" w:cs="楷体_GB2312"/>
          <w:b/>
          <w:bCs/>
          <w:color w:val="auto"/>
          <w:kern w:val="2"/>
          <w:sz w:val="32"/>
          <w:szCs w:val="32"/>
          <w:highlight w:val="none"/>
          <w:u w:val="none" w:color="auto"/>
          <w:lang w:val="en-US" w:eastAsia="zh-CN" w:bidi="ar-SA"/>
        </w:rPr>
        <w:t>（一）完善医疗服务体系。</w:t>
      </w:r>
      <w:r>
        <w:rPr>
          <w:rFonts w:hint="eastAsia" w:ascii="Times New Roman" w:hAnsi="Times New Roman" w:eastAsia="仿宋_GB2312" w:cs="仿宋_GB2312"/>
          <w:color w:val="auto"/>
          <w:spacing w:val="8"/>
          <w:kern w:val="0"/>
          <w:sz w:val="32"/>
          <w:szCs w:val="32"/>
          <w:highlight w:val="none"/>
        </w:rPr>
        <w:t>加强医疗质量监管，完善医疗质量控制体系和组织评价体系，加强各专业质控督导，促进诊疗活动规范化、标准化、同质化。推进“三医”协同发展与治理，推进全民健康信息化建设。建立城市医疗集团治理与运行机制，深化医联体合作。</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eastAsia="仿宋_GB2312" w:cs="宋体"/>
          <w:color w:val="auto"/>
          <w:sz w:val="32"/>
          <w:szCs w:val="32"/>
          <w:highlight w:val="none"/>
        </w:rPr>
      </w:pPr>
      <w:r>
        <w:rPr>
          <w:rFonts w:hint="eastAsia" w:eastAsia="楷体_GB2312" w:cs="楷体_GB2312"/>
          <w:b/>
          <w:bCs/>
          <w:color w:val="auto"/>
          <w:kern w:val="2"/>
          <w:sz w:val="32"/>
          <w:szCs w:val="32"/>
          <w:highlight w:val="none"/>
          <w:u w:val="none" w:color="auto"/>
          <w:lang w:val="en-US" w:eastAsia="zh-CN" w:bidi="ar-SA"/>
        </w:rPr>
        <w:t>（二）提升医疗服务能力。</w:t>
      </w:r>
      <w:r>
        <w:rPr>
          <w:rFonts w:hint="eastAsia" w:ascii="Times New Roman" w:hAnsi="Times New Roman" w:eastAsia="仿宋_GB2312" w:cs="仿宋_GB2312"/>
          <w:color w:val="auto"/>
          <w:sz w:val="32"/>
          <w:szCs w:val="32"/>
          <w:highlight w:val="none"/>
          <w:shd w:val="clear" w:color="auto" w:fill="FFFFFF"/>
        </w:rPr>
        <w:t>突出“全专结合、医防融合、健康管理”，深化家庭医生签约服务</w:t>
      </w:r>
      <w:r>
        <w:rPr>
          <w:rStyle w:val="21"/>
          <w:rFonts w:hint="eastAsia" w:ascii="仿宋_GB2312" w:eastAsia="仿宋_GB2312" w:cs="仿宋_GB2312"/>
          <w:color w:val="auto"/>
          <w:sz w:val="32"/>
          <w:szCs w:val="32"/>
          <w:highlight w:val="none"/>
        </w:rPr>
        <w:t>，实施家庭医生签约服务感受度提升行动</w:t>
      </w:r>
      <w:r>
        <w:rPr>
          <w:rStyle w:val="21"/>
          <w:rFonts w:hint="eastAsia" w:ascii="仿宋_GB2312" w:eastAsia="仿宋_GB2312" w:cs="仿宋_GB2312"/>
          <w:color w:val="auto"/>
          <w:sz w:val="32"/>
          <w:szCs w:val="32"/>
          <w:highlight w:val="none"/>
          <w:lang w:val="zh-TW"/>
        </w:rPr>
        <w:t>，</w:t>
      </w:r>
      <w:r>
        <w:rPr>
          <w:rStyle w:val="21"/>
          <w:rFonts w:hint="eastAsia" w:ascii="仿宋_GB2312" w:eastAsia="仿宋_GB2312" w:cs="仿宋_GB2312"/>
          <w:color w:val="auto"/>
          <w:sz w:val="32"/>
          <w:szCs w:val="32"/>
          <w:highlight w:val="none"/>
        </w:rPr>
        <w:t>强化</w:t>
      </w:r>
      <w:r>
        <w:rPr>
          <w:rStyle w:val="21"/>
          <w:rFonts w:hint="eastAsia" w:ascii="仿宋_GB2312" w:eastAsia="仿宋_GB2312" w:cs="仿宋_GB2312"/>
          <w:color w:val="auto"/>
          <w:sz w:val="32"/>
          <w:szCs w:val="32"/>
          <w:highlight w:val="none"/>
          <w:lang w:val="zh-TW" w:eastAsia="zh-TW"/>
        </w:rPr>
        <w:t>“3+1+N”家庭医生团队建设，</w:t>
      </w:r>
      <w:r>
        <w:rPr>
          <w:rFonts w:hint="eastAsia" w:eastAsia="仿宋_GB2312" w:cs="宋体"/>
          <w:color w:val="auto"/>
          <w:sz w:val="32"/>
          <w:szCs w:val="32"/>
          <w:highlight w:val="none"/>
        </w:rPr>
        <w:t>实施“优质服务基层行”活动与社区医院创建三年行动，积极打造</w:t>
      </w:r>
      <w:r>
        <w:rPr>
          <w:rFonts w:hint="eastAsia" w:eastAsia="仿宋_GB2312" w:cs="宋体"/>
          <w:color w:val="auto"/>
          <w:sz w:val="32"/>
          <w:szCs w:val="32"/>
          <w:highlight w:val="none"/>
          <w:lang w:val="zh-TW"/>
        </w:rPr>
        <w:t>呼吸慢病、社区疼痛</w:t>
      </w:r>
      <w:r>
        <w:rPr>
          <w:rFonts w:hint="eastAsia" w:eastAsia="仿宋_GB2312" w:cs="宋体"/>
          <w:color w:val="auto"/>
          <w:sz w:val="32"/>
          <w:szCs w:val="32"/>
          <w:highlight w:val="none"/>
        </w:rPr>
        <w:t>、糖尿病、骨质疏松、口腔、中医等基层特色专科服务，提升基层全专结合服务能力。</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eastAsia="楷体_GB2312" w:cs="楷体_GB2312"/>
          <w:b/>
          <w:bCs/>
          <w:color w:val="auto"/>
          <w:kern w:val="2"/>
          <w:sz w:val="32"/>
          <w:szCs w:val="32"/>
          <w:highlight w:val="none"/>
          <w:u w:val="none" w:color="auto"/>
          <w:lang w:val="en-US" w:eastAsia="zh-CN" w:bidi="ar-SA"/>
        </w:rPr>
        <w:t>（三）创新中医药发展模式。</w:t>
      </w:r>
      <w:r>
        <w:rPr>
          <w:rFonts w:hint="eastAsia" w:ascii="仿宋_GB2312" w:eastAsia="仿宋_GB2312"/>
          <w:color w:val="auto"/>
          <w:sz w:val="32"/>
          <w:szCs w:val="32"/>
          <w:highlight w:val="none"/>
        </w:rPr>
        <w:t>强化中医馆、中医阁建设，</w:t>
      </w:r>
      <w:r>
        <w:rPr>
          <w:rFonts w:hint="eastAsia" w:ascii="Times New Roman" w:hAnsi="Times New Roman" w:eastAsia="仿宋_GB2312" w:cs="仿宋_GB2312"/>
          <w:color w:val="auto"/>
          <w:sz w:val="32"/>
          <w:szCs w:val="32"/>
          <w:highlight w:val="none"/>
        </w:rPr>
        <w:t>积极开展“中医药文化市集”“中医夜市”等活动，将中医药文化与健康服务等深度融合，推进中医药事业产业协同发展。提升区级中医药适宜技术推广中心推广能力和服务水平。</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仿宋_GB2312"/>
          <w:color w:val="auto"/>
          <w:spacing w:val="8"/>
          <w:kern w:val="0"/>
          <w:sz w:val="32"/>
          <w:szCs w:val="32"/>
          <w:highlight w:val="none"/>
        </w:rPr>
      </w:pPr>
      <w:r>
        <w:rPr>
          <w:rFonts w:hint="eastAsia" w:eastAsia="楷体_GB2312" w:cs="楷体_GB2312"/>
          <w:b/>
          <w:bCs/>
          <w:color w:val="auto"/>
          <w:kern w:val="2"/>
          <w:sz w:val="32"/>
          <w:szCs w:val="32"/>
          <w:highlight w:val="none"/>
          <w:u w:val="none" w:color="auto"/>
          <w:lang w:val="en-US" w:eastAsia="zh-CN" w:bidi="ar-SA"/>
        </w:rPr>
        <w:t>（四）提升疾控工作水平。</w:t>
      </w:r>
      <w:r>
        <w:rPr>
          <w:rFonts w:hint="eastAsia" w:ascii="Times New Roman" w:hAnsi="Times New Roman" w:eastAsia="仿宋_GB2312" w:cs="仿宋_GB2312"/>
          <w:color w:val="auto"/>
          <w:spacing w:val="8"/>
          <w:kern w:val="0"/>
          <w:sz w:val="32"/>
          <w:szCs w:val="32"/>
          <w:highlight w:val="none"/>
        </w:rPr>
        <w:t>推动传染病监测预警以及应急指挥平台构建，强化公共卫生信息系统与医疗机构对接协同，积极配合推进国家区域</w:t>
      </w:r>
      <w:r>
        <w:rPr>
          <w:rFonts w:hint="eastAsia" w:eastAsia="仿宋_GB2312" w:cs="仿宋_GB2312"/>
          <w:color w:val="auto"/>
          <w:spacing w:val="8"/>
          <w:kern w:val="0"/>
          <w:sz w:val="32"/>
          <w:szCs w:val="32"/>
          <w:highlight w:val="none"/>
          <w:lang w:eastAsia="zh-CN"/>
        </w:rPr>
        <w:t>公共</w:t>
      </w:r>
      <w:r>
        <w:rPr>
          <w:rFonts w:hint="eastAsia" w:ascii="Times New Roman" w:hAnsi="Times New Roman" w:eastAsia="仿宋_GB2312" w:cs="仿宋_GB2312"/>
          <w:color w:val="auto"/>
          <w:spacing w:val="8"/>
          <w:kern w:val="0"/>
          <w:sz w:val="32"/>
          <w:szCs w:val="32"/>
          <w:highlight w:val="none"/>
        </w:rPr>
        <w:t>卫生中心</w:t>
      </w:r>
      <w:r>
        <w:rPr>
          <w:rFonts w:hint="eastAsia" w:eastAsia="仿宋_GB2312" w:cs="仿宋_GB2312"/>
          <w:color w:val="auto"/>
          <w:spacing w:val="8"/>
          <w:kern w:val="0"/>
          <w:sz w:val="32"/>
          <w:szCs w:val="32"/>
          <w:highlight w:val="none"/>
          <w:lang w:eastAsia="zh-CN"/>
        </w:rPr>
        <w:t>项目</w:t>
      </w:r>
      <w:r>
        <w:rPr>
          <w:rFonts w:hint="eastAsia" w:ascii="Times New Roman" w:hAnsi="Times New Roman" w:eastAsia="仿宋_GB2312" w:cs="仿宋_GB2312"/>
          <w:color w:val="auto"/>
          <w:spacing w:val="8"/>
          <w:kern w:val="0"/>
          <w:sz w:val="32"/>
          <w:szCs w:val="32"/>
          <w:highlight w:val="none"/>
        </w:rPr>
        <w:t>建设</w:t>
      </w:r>
      <w:r>
        <w:rPr>
          <w:rFonts w:hint="eastAsia" w:ascii="Times New Roman" w:hAnsi="Times New Roman" w:eastAsia="仿宋_GB2312"/>
          <w:color w:val="auto"/>
          <w:sz w:val="32"/>
          <w:szCs w:val="32"/>
          <w:highlight w:val="none"/>
        </w:rPr>
        <w:t>，提升监测应急与传染病防控水平。完善应急预案和响应机制，强化应急物资储备管理，打造高素质卫生应急人才队伍。</w:t>
      </w:r>
      <w:r>
        <w:rPr>
          <w:rFonts w:hint="eastAsia" w:ascii="Times New Roman" w:hAnsi="Times New Roman" w:eastAsia="仿宋_GB2312" w:cs="仿宋_GB2312"/>
          <w:color w:val="auto"/>
          <w:spacing w:val="8"/>
          <w:kern w:val="0"/>
          <w:sz w:val="32"/>
          <w:szCs w:val="32"/>
          <w:highlight w:val="none"/>
        </w:rPr>
        <w:t>进一步加强严重精神障碍患者的筛查管理工作。</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楷体_GB2312"/>
          <w:color w:val="auto"/>
          <w:sz w:val="32"/>
          <w:szCs w:val="32"/>
          <w:highlight w:val="none"/>
          <w:shd w:val="clear" w:color="auto" w:fill="FFFFFF"/>
        </w:rPr>
      </w:pPr>
      <w:r>
        <w:rPr>
          <w:rFonts w:hint="eastAsia" w:eastAsia="楷体_GB2312" w:cs="楷体_GB2312"/>
          <w:b/>
          <w:bCs/>
          <w:color w:val="auto"/>
          <w:kern w:val="2"/>
          <w:sz w:val="32"/>
          <w:szCs w:val="32"/>
          <w:highlight w:val="none"/>
          <w:u w:val="none" w:color="auto"/>
          <w:lang w:val="en-US" w:eastAsia="zh-CN" w:bidi="ar-SA"/>
        </w:rPr>
        <w:t>（五）强化卫生监管职能。</w:t>
      </w:r>
      <w:r>
        <w:rPr>
          <w:rFonts w:hint="eastAsia" w:ascii="Times New Roman" w:hAnsi="Times New Roman" w:eastAsia="仿宋_GB2312" w:cs="楷体_GB2312"/>
          <w:color w:val="auto"/>
          <w:sz w:val="32"/>
          <w:szCs w:val="32"/>
          <w:highlight w:val="none"/>
          <w:shd w:val="clear" w:color="auto" w:fill="FFFFFF"/>
        </w:rPr>
        <w:t>全面加强对各医疗机构的监督管理和执法力度，强化民营医疗机构监管，持续巩固“民营医院管理年”“规范民营医院发展专项行动”成果。积极运用“双随机、一公开”机制，确保检查的随机性和公正性，开展非现场监管，强化三医联动，发挥</w:t>
      </w:r>
      <w:r>
        <w:rPr>
          <w:rFonts w:hint="eastAsia" w:ascii="Times New Roman" w:hAnsi="Times New Roman" w:eastAsia="仿宋_GB2312" w:cs="仿宋_GB2312"/>
          <w:color w:val="auto"/>
          <w:kern w:val="0"/>
          <w:sz w:val="32"/>
          <w:szCs w:val="32"/>
          <w:highlight w:val="none"/>
        </w:rPr>
        <w:t>区域远程监管平台作用，</w:t>
      </w:r>
      <w:r>
        <w:rPr>
          <w:rFonts w:hint="eastAsia" w:ascii="Times New Roman" w:hAnsi="Times New Roman" w:eastAsia="仿宋_GB2312" w:cs="楷体_GB2312"/>
          <w:color w:val="auto"/>
          <w:sz w:val="32"/>
          <w:szCs w:val="32"/>
          <w:highlight w:val="none"/>
          <w:shd w:val="clear" w:color="auto" w:fill="FFFFFF"/>
        </w:rPr>
        <w:t>联合多部门开展综合性检查，形成监管合力。高度重视投诉举报信息，对可能存在的违法行为主动出击、提前介入，将问题遏制在萌芽状态。持续治理无证行医、非法医疗美容、非法售卖献血证等风险隐患。</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仿宋_GB2312"/>
          <w:color w:val="auto"/>
          <w:sz w:val="32"/>
          <w:szCs w:val="32"/>
          <w:highlight w:val="none"/>
          <w:shd w:val="clear" w:color="auto" w:fill="FFFFFF"/>
        </w:rPr>
      </w:pPr>
      <w:r>
        <w:rPr>
          <w:rFonts w:hint="eastAsia" w:eastAsia="楷体_GB2312" w:cs="楷体_GB2312"/>
          <w:b/>
          <w:bCs/>
          <w:color w:val="auto"/>
          <w:kern w:val="2"/>
          <w:sz w:val="32"/>
          <w:szCs w:val="32"/>
          <w:highlight w:val="none"/>
          <w:u w:val="none" w:color="auto"/>
          <w:lang w:val="en-US" w:eastAsia="zh-CN" w:bidi="ar-SA"/>
        </w:rPr>
        <w:t>（六）优化妇幼服务效果。</w:t>
      </w:r>
      <w:r>
        <w:rPr>
          <w:rFonts w:hint="eastAsia" w:ascii="Times New Roman" w:hAnsi="Times New Roman" w:eastAsia="仿宋_GB2312" w:cs="仿宋_GB2312"/>
          <w:color w:val="auto"/>
          <w:sz w:val="32"/>
          <w:szCs w:val="32"/>
          <w:highlight w:val="none"/>
          <w:shd w:val="clear" w:color="auto" w:fill="FFFFFF"/>
        </w:rPr>
        <w:t>持续强化积极生育支持政策落实，促进人口长期均衡发展，做好出生人口监测，深化0-6岁儿童保健服务与养育指导。不断优化妇幼联盟医联体下的母婴安全保障工作，加强孕产妇风险筛查及分级管理工作。以孕期“五色”健康管理原则，通过“智随访”平台，将孕产妇纳入专案管理，按照孕产妇需求进行健康宣教。</w:t>
      </w:r>
    </w:p>
    <w:p>
      <w:pPr>
        <w:pStyle w:val="8"/>
        <w:keepNext w:val="0"/>
        <w:keepLines w:val="0"/>
        <w:pageBreakBefore w:val="0"/>
        <w:kinsoku/>
        <w:wordWrap/>
        <w:overflowPunct/>
        <w:topLinePunct w:val="0"/>
        <w:autoSpaceDN/>
        <w:bidi w:val="0"/>
        <w:snapToGrid/>
        <w:spacing w:after="0" w:line="560" w:lineRule="exact"/>
        <w:ind w:firstLine="643" w:firstLineChars="200"/>
        <w:jc w:val="both"/>
        <w:textAlignment w:val="auto"/>
        <w:rPr>
          <w:rFonts w:hint="eastAsia" w:ascii="Times New Roman" w:hAnsi="Times New Roman" w:eastAsia="仿宋_GB2312" w:cs="仿宋_GB2312"/>
          <w:color w:val="auto"/>
          <w:sz w:val="32"/>
          <w:szCs w:val="32"/>
          <w:highlight w:val="none"/>
          <w:shd w:val="clear" w:color="auto" w:fill="FFFFFF"/>
        </w:rPr>
      </w:pPr>
      <w:r>
        <w:rPr>
          <w:rFonts w:hint="eastAsia" w:eastAsia="楷体_GB2312" w:cs="楷体_GB2312"/>
          <w:b/>
          <w:bCs/>
          <w:color w:val="auto"/>
          <w:kern w:val="2"/>
          <w:sz w:val="32"/>
          <w:szCs w:val="32"/>
          <w:highlight w:val="none"/>
          <w:u w:val="none" w:color="auto"/>
          <w:lang w:val="en-US" w:eastAsia="zh-CN" w:bidi="ar-SA"/>
        </w:rPr>
        <w:t>（七）推动爱国卫生工作。</w:t>
      </w:r>
      <w:r>
        <w:rPr>
          <w:rFonts w:hint="eastAsia" w:ascii="仿宋_GB2312" w:hAnsi="仿宋_GB2312" w:eastAsia="仿宋_GB2312" w:cs="仿宋_GB2312"/>
          <w:color w:val="auto"/>
          <w:sz w:val="32"/>
          <w:szCs w:val="32"/>
          <w:highlight w:val="none"/>
        </w:rPr>
        <w:t>积极推进爱国卫生运动和健康天津行动，不断强化病媒生物防制和控烟履约工作，丰富爱国卫生运动内涵。</w:t>
      </w:r>
      <w:r>
        <w:rPr>
          <w:rFonts w:hint="eastAsia" w:ascii="Times New Roman" w:hAnsi="Times New Roman" w:eastAsia="仿宋_GB2312" w:cs="仿宋_GB2312"/>
          <w:color w:val="auto"/>
          <w:sz w:val="32"/>
          <w:szCs w:val="32"/>
          <w:highlight w:val="none"/>
          <w:shd w:val="clear" w:color="auto" w:fill="FFFFFF"/>
        </w:rPr>
        <w:t>深入开展健康细胞建设，增加优质健康科普资源供给，提升健康素养水平。加强病媒生物预防控制，病媒生物密度控制水平控制在国际标准C级及以上。扩大无烟环境建设覆盖范围。持续巩固国家卫生区和健康促进区建设成果。</w:t>
      </w:r>
    </w:p>
    <w:p>
      <w:pPr>
        <w:pStyle w:val="8"/>
        <w:keepNext w:val="0"/>
        <w:keepLines w:val="0"/>
        <w:pageBreakBefore w:val="0"/>
        <w:kinsoku/>
        <w:wordWrap/>
        <w:overflowPunct/>
        <w:topLinePunct w:val="0"/>
        <w:autoSpaceDN/>
        <w:bidi w:val="0"/>
        <w:snapToGrid/>
        <w:spacing w:after="0" w:line="56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FFFFFF"/>
        </w:rPr>
      </w:pPr>
    </w:p>
    <w:p>
      <w:pPr>
        <w:pStyle w:val="8"/>
        <w:keepNext w:val="0"/>
        <w:keepLines w:val="0"/>
        <w:pageBreakBefore w:val="0"/>
        <w:kinsoku/>
        <w:wordWrap/>
        <w:overflowPunct/>
        <w:topLinePunct w:val="0"/>
        <w:autoSpaceDN/>
        <w:bidi w:val="0"/>
        <w:snapToGrid/>
        <w:spacing w:after="0" w:line="56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（此文有删减）</w:t>
      </w: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8" w:rightChars="161" w:firstLine="3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38" w:rightChars="161" w:firstLine="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ind w:right="338" w:rightChars="161" w:firstLine="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v:textbox>
            </v:shape>
          </w:pict>
        </mc:Fallback>
      </mc:AlternateConten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424d8eb2-ff8c-4b09-9402-773411da2c42"/>
  </w:docVars>
  <w:rsids>
    <w:rsidRoot w:val="000921F0"/>
    <w:rsid w:val="0000330F"/>
    <w:rsid w:val="0001108A"/>
    <w:rsid w:val="00014D8B"/>
    <w:rsid w:val="00025324"/>
    <w:rsid w:val="00026F41"/>
    <w:rsid w:val="00027DD1"/>
    <w:rsid w:val="000467A0"/>
    <w:rsid w:val="000503D9"/>
    <w:rsid w:val="00052F2A"/>
    <w:rsid w:val="00055CBC"/>
    <w:rsid w:val="0009069A"/>
    <w:rsid w:val="000921F0"/>
    <w:rsid w:val="00093AA8"/>
    <w:rsid w:val="00095420"/>
    <w:rsid w:val="000965DB"/>
    <w:rsid w:val="000B6DEE"/>
    <w:rsid w:val="000C7E0C"/>
    <w:rsid w:val="000F1449"/>
    <w:rsid w:val="000F1580"/>
    <w:rsid w:val="000F49A4"/>
    <w:rsid w:val="00117685"/>
    <w:rsid w:val="00131904"/>
    <w:rsid w:val="00132CB4"/>
    <w:rsid w:val="00133616"/>
    <w:rsid w:val="00134FC8"/>
    <w:rsid w:val="00151082"/>
    <w:rsid w:val="00162909"/>
    <w:rsid w:val="0016387C"/>
    <w:rsid w:val="00172AD8"/>
    <w:rsid w:val="001800D6"/>
    <w:rsid w:val="00180871"/>
    <w:rsid w:val="00187232"/>
    <w:rsid w:val="00190B1A"/>
    <w:rsid w:val="001A1747"/>
    <w:rsid w:val="001B0B4E"/>
    <w:rsid w:val="001B3FA3"/>
    <w:rsid w:val="001C0F90"/>
    <w:rsid w:val="001E0622"/>
    <w:rsid w:val="001E71F7"/>
    <w:rsid w:val="001F6DF5"/>
    <w:rsid w:val="0021260B"/>
    <w:rsid w:val="00214996"/>
    <w:rsid w:val="002163A1"/>
    <w:rsid w:val="00224C0D"/>
    <w:rsid w:val="00230ABB"/>
    <w:rsid w:val="002346E2"/>
    <w:rsid w:val="0023566B"/>
    <w:rsid w:val="00236B3A"/>
    <w:rsid w:val="00247E08"/>
    <w:rsid w:val="002556F6"/>
    <w:rsid w:val="0026009B"/>
    <w:rsid w:val="00262684"/>
    <w:rsid w:val="00270446"/>
    <w:rsid w:val="0027120D"/>
    <w:rsid w:val="002829EF"/>
    <w:rsid w:val="002A3872"/>
    <w:rsid w:val="002A625D"/>
    <w:rsid w:val="002C285A"/>
    <w:rsid w:val="002C59C6"/>
    <w:rsid w:val="002E671C"/>
    <w:rsid w:val="002F4533"/>
    <w:rsid w:val="002F7C24"/>
    <w:rsid w:val="003058CC"/>
    <w:rsid w:val="00311683"/>
    <w:rsid w:val="00312ED7"/>
    <w:rsid w:val="00337F4F"/>
    <w:rsid w:val="00340E4A"/>
    <w:rsid w:val="00344612"/>
    <w:rsid w:val="00363C62"/>
    <w:rsid w:val="003A5387"/>
    <w:rsid w:val="003B01CD"/>
    <w:rsid w:val="003B0F1A"/>
    <w:rsid w:val="003B4CA7"/>
    <w:rsid w:val="003D362A"/>
    <w:rsid w:val="003E205C"/>
    <w:rsid w:val="003E4FDC"/>
    <w:rsid w:val="003E65CA"/>
    <w:rsid w:val="003F7E07"/>
    <w:rsid w:val="00403980"/>
    <w:rsid w:val="00406885"/>
    <w:rsid w:val="00421A9F"/>
    <w:rsid w:val="00454C30"/>
    <w:rsid w:val="0047136D"/>
    <w:rsid w:val="00475E36"/>
    <w:rsid w:val="00492EA4"/>
    <w:rsid w:val="004A273C"/>
    <w:rsid w:val="004B19EC"/>
    <w:rsid w:val="004C3546"/>
    <w:rsid w:val="004C4489"/>
    <w:rsid w:val="004C50A8"/>
    <w:rsid w:val="004E6AE2"/>
    <w:rsid w:val="004E7360"/>
    <w:rsid w:val="00522DE5"/>
    <w:rsid w:val="00526745"/>
    <w:rsid w:val="00527E76"/>
    <w:rsid w:val="005352A9"/>
    <w:rsid w:val="00536DDC"/>
    <w:rsid w:val="00537907"/>
    <w:rsid w:val="00561B51"/>
    <w:rsid w:val="005623E8"/>
    <w:rsid w:val="005624C9"/>
    <w:rsid w:val="005673AE"/>
    <w:rsid w:val="005750B1"/>
    <w:rsid w:val="0057593E"/>
    <w:rsid w:val="00581338"/>
    <w:rsid w:val="005F4AC7"/>
    <w:rsid w:val="00603FDD"/>
    <w:rsid w:val="0061091B"/>
    <w:rsid w:val="00625705"/>
    <w:rsid w:val="006337B7"/>
    <w:rsid w:val="00634F4E"/>
    <w:rsid w:val="00641DA6"/>
    <w:rsid w:val="00646310"/>
    <w:rsid w:val="00646E49"/>
    <w:rsid w:val="00653B13"/>
    <w:rsid w:val="00654D8F"/>
    <w:rsid w:val="0065613A"/>
    <w:rsid w:val="00664167"/>
    <w:rsid w:val="006731DC"/>
    <w:rsid w:val="0067643B"/>
    <w:rsid w:val="006856F4"/>
    <w:rsid w:val="006A0908"/>
    <w:rsid w:val="006A44FA"/>
    <w:rsid w:val="006A5086"/>
    <w:rsid w:val="006B1EFC"/>
    <w:rsid w:val="006B47FD"/>
    <w:rsid w:val="006B481A"/>
    <w:rsid w:val="006C1706"/>
    <w:rsid w:val="006E228F"/>
    <w:rsid w:val="006E3BAC"/>
    <w:rsid w:val="006F108D"/>
    <w:rsid w:val="006F3CA4"/>
    <w:rsid w:val="006F4FB4"/>
    <w:rsid w:val="006F5018"/>
    <w:rsid w:val="0070174E"/>
    <w:rsid w:val="00713573"/>
    <w:rsid w:val="00720C76"/>
    <w:rsid w:val="00724548"/>
    <w:rsid w:val="00737FBE"/>
    <w:rsid w:val="007414AC"/>
    <w:rsid w:val="00741E45"/>
    <w:rsid w:val="00747414"/>
    <w:rsid w:val="00757966"/>
    <w:rsid w:val="00760687"/>
    <w:rsid w:val="007618DA"/>
    <w:rsid w:val="00761E89"/>
    <w:rsid w:val="00767E18"/>
    <w:rsid w:val="00774F94"/>
    <w:rsid w:val="00786881"/>
    <w:rsid w:val="00791659"/>
    <w:rsid w:val="007933D2"/>
    <w:rsid w:val="007A1453"/>
    <w:rsid w:val="007A19B8"/>
    <w:rsid w:val="007A602F"/>
    <w:rsid w:val="007C0F30"/>
    <w:rsid w:val="007E3FEE"/>
    <w:rsid w:val="007F32F2"/>
    <w:rsid w:val="008014BD"/>
    <w:rsid w:val="0080574A"/>
    <w:rsid w:val="008114B1"/>
    <w:rsid w:val="00821F6C"/>
    <w:rsid w:val="00822355"/>
    <w:rsid w:val="00823F39"/>
    <w:rsid w:val="0082547A"/>
    <w:rsid w:val="00826527"/>
    <w:rsid w:val="00830C30"/>
    <w:rsid w:val="008310CD"/>
    <w:rsid w:val="00831143"/>
    <w:rsid w:val="00834FB6"/>
    <w:rsid w:val="00835516"/>
    <w:rsid w:val="00881256"/>
    <w:rsid w:val="0088365B"/>
    <w:rsid w:val="008849D9"/>
    <w:rsid w:val="0088573E"/>
    <w:rsid w:val="00886640"/>
    <w:rsid w:val="00891479"/>
    <w:rsid w:val="00893A26"/>
    <w:rsid w:val="008964CE"/>
    <w:rsid w:val="00897675"/>
    <w:rsid w:val="008C25CD"/>
    <w:rsid w:val="008C3CE8"/>
    <w:rsid w:val="008D121F"/>
    <w:rsid w:val="008D4C7F"/>
    <w:rsid w:val="008D6B55"/>
    <w:rsid w:val="008D76EA"/>
    <w:rsid w:val="008E1859"/>
    <w:rsid w:val="008F0369"/>
    <w:rsid w:val="008F6F5F"/>
    <w:rsid w:val="009368AA"/>
    <w:rsid w:val="00940FD4"/>
    <w:rsid w:val="009428AE"/>
    <w:rsid w:val="009473D2"/>
    <w:rsid w:val="00950F8A"/>
    <w:rsid w:val="00953513"/>
    <w:rsid w:val="009573FE"/>
    <w:rsid w:val="009617A2"/>
    <w:rsid w:val="00967E9F"/>
    <w:rsid w:val="00971B5A"/>
    <w:rsid w:val="00971BD4"/>
    <w:rsid w:val="00974314"/>
    <w:rsid w:val="00976BA1"/>
    <w:rsid w:val="00990D2A"/>
    <w:rsid w:val="00997ED0"/>
    <w:rsid w:val="009A4B65"/>
    <w:rsid w:val="009B744C"/>
    <w:rsid w:val="009C2A50"/>
    <w:rsid w:val="009E56DC"/>
    <w:rsid w:val="00A06AF0"/>
    <w:rsid w:val="00A22AB5"/>
    <w:rsid w:val="00A2595F"/>
    <w:rsid w:val="00A27DF0"/>
    <w:rsid w:val="00A31BAE"/>
    <w:rsid w:val="00A443F6"/>
    <w:rsid w:val="00A4527F"/>
    <w:rsid w:val="00A51F71"/>
    <w:rsid w:val="00A56D8D"/>
    <w:rsid w:val="00A61C65"/>
    <w:rsid w:val="00A6502A"/>
    <w:rsid w:val="00A65A0B"/>
    <w:rsid w:val="00A712C5"/>
    <w:rsid w:val="00A77B9C"/>
    <w:rsid w:val="00A84B42"/>
    <w:rsid w:val="00A84DBD"/>
    <w:rsid w:val="00A93858"/>
    <w:rsid w:val="00AA0B1B"/>
    <w:rsid w:val="00AA708F"/>
    <w:rsid w:val="00AB43CB"/>
    <w:rsid w:val="00AB43E9"/>
    <w:rsid w:val="00AC2084"/>
    <w:rsid w:val="00AC63E3"/>
    <w:rsid w:val="00AD00AB"/>
    <w:rsid w:val="00AD2499"/>
    <w:rsid w:val="00AD7803"/>
    <w:rsid w:val="00AF3CB9"/>
    <w:rsid w:val="00B0006C"/>
    <w:rsid w:val="00B017F0"/>
    <w:rsid w:val="00B01C86"/>
    <w:rsid w:val="00B0708D"/>
    <w:rsid w:val="00B1074D"/>
    <w:rsid w:val="00B12443"/>
    <w:rsid w:val="00B617EC"/>
    <w:rsid w:val="00B670DD"/>
    <w:rsid w:val="00B70B96"/>
    <w:rsid w:val="00B8503F"/>
    <w:rsid w:val="00B90F95"/>
    <w:rsid w:val="00BA6E1E"/>
    <w:rsid w:val="00BC73F2"/>
    <w:rsid w:val="00BD394D"/>
    <w:rsid w:val="00BE56A2"/>
    <w:rsid w:val="00BF6976"/>
    <w:rsid w:val="00BF7B4A"/>
    <w:rsid w:val="00C00396"/>
    <w:rsid w:val="00C040F4"/>
    <w:rsid w:val="00C10330"/>
    <w:rsid w:val="00C20248"/>
    <w:rsid w:val="00C2125A"/>
    <w:rsid w:val="00C22EA8"/>
    <w:rsid w:val="00C43943"/>
    <w:rsid w:val="00C43FAC"/>
    <w:rsid w:val="00C673B3"/>
    <w:rsid w:val="00C702BF"/>
    <w:rsid w:val="00C7410F"/>
    <w:rsid w:val="00C8541E"/>
    <w:rsid w:val="00C87B9C"/>
    <w:rsid w:val="00C90019"/>
    <w:rsid w:val="00C92BA7"/>
    <w:rsid w:val="00C954E7"/>
    <w:rsid w:val="00CA2840"/>
    <w:rsid w:val="00CA381E"/>
    <w:rsid w:val="00CA460B"/>
    <w:rsid w:val="00CB0D84"/>
    <w:rsid w:val="00CB2478"/>
    <w:rsid w:val="00CC08B9"/>
    <w:rsid w:val="00CE5A49"/>
    <w:rsid w:val="00CF50AB"/>
    <w:rsid w:val="00CF6700"/>
    <w:rsid w:val="00CF77D6"/>
    <w:rsid w:val="00D0190B"/>
    <w:rsid w:val="00D04805"/>
    <w:rsid w:val="00D10C90"/>
    <w:rsid w:val="00D1629A"/>
    <w:rsid w:val="00D33F16"/>
    <w:rsid w:val="00D40B4C"/>
    <w:rsid w:val="00D4515C"/>
    <w:rsid w:val="00D71E24"/>
    <w:rsid w:val="00D72F2F"/>
    <w:rsid w:val="00D81D9E"/>
    <w:rsid w:val="00D82117"/>
    <w:rsid w:val="00DA4C36"/>
    <w:rsid w:val="00DA68F3"/>
    <w:rsid w:val="00DB14E0"/>
    <w:rsid w:val="00DB1B5F"/>
    <w:rsid w:val="00DB618C"/>
    <w:rsid w:val="00DB6FCA"/>
    <w:rsid w:val="00DC593A"/>
    <w:rsid w:val="00DC7069"/>
    <w:rsid w:val="00DC7EEB"/>
    <w:rsid w:val="00DD05D5"/>
    <w:rsid w:val="00DD3340"/>
    <w:rsid w:val="00DD4675"/>
    <w:rsid w:val="00DD6345"/>
    <w:rsid w:val="00DE2C39"/>
    <w:rsid w:val="00DF5A6C"/>
    <w:rsid w:val="00E145C8"/>
    <w:rsid w:val="00E16D32"/>
    <w:rsid w:val="00E35BE1"/>
    <w:rsid w:val="00E4323A"/>
    <w:rsid w:val="00E5516D"/>
    <w:rsid w:val="00E776A1"/>
    <w:rsid w:val="00E8075B"/>
    <w:rsid w:val="00E808E5"/>
    <w:rsid w:val="00E824EC"/>
    <w:rsid w:val="00E8630F"/>
    <w:rsid w:val="00E86C6C"/>
    <w:rsid w:val="00EF2765"/>
    <w:rsid w:val="00EF3052"/>
    <w:rsid w:val="00F00966"/>
    <w:rsid w:val="00F10F45"/>
    <w:rsid w:val="00F1788F"/>
    <w:rsid w:val="00F17CE2"/>
    <w:rsid w:val="00F248A5"/>
    <w:rsid w:val="00F33DF1"/>
    <w:rsid w:val="00F354BA"/>
    <w:rsid w:val="00F356FE"/>
    <w:rsid w:val="00F366FA"/>
    <w:rsid w:val="00F402AC"/>
    <w:rsid w:val="00F50911"/>
    <w:rsid w:val="00F555B5"/>
    <w:rsid w:val="00F712FE"/>
    <w:rsid w:val="00F87545"/>
    <w:rsid w:val="00F95780"/>
    <w:rsid w:val="00FA5463"/>
    <w:rsid w:val="00FB3ABD"/>
    <w:rsid w:val="00FC0F56"/>
    <w:rsid w:val="00FC3BBD"/>
    <w:rsid w:val="00FD3452"/>
    <w:rsid w:val="00FD5899"/>
    <w:rsid w:val="00FE0BE0"/>
    <w:rsid w:val="00FE12C8"/>
    <w:rsid w:val="00FE2E15"/>
    <w:rsid w:val="00FE4B1A"/>
    <w:rsid w:val="00FF2D32"/>
    <w:rsid w:val="00FF66B1"/>
    <w:rsid w:val="3ADB9B66"/>
    <w:rsid w:val="43BF910F"/>
    <w:rsid w:val="46E1670D"/>
    <w:rsid w:val="5CE6C296"/>
    <w:rsid w:val="5DED9E8A"/>
    <w:rsid w:val="5E477B81"/>
    <w:rsid w:val="662D4E23"/>
    <w:rsid w:val="67FE09A7"/>
    <w:rsid w:val="7BF7CDA2"/>
    <w:rsid w:val="EF7FBFE3"/>
    <w:rsid w:val="EFB6CCEF"/>
    <w:rsid w:val="FF7E06D6"/>
    <w:rsid w:val="FFE618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2"/>
      <w:szCs w:val="32"/>
      <w:lang w:eastAsia="en-US"/>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8">
    <w:name w:val="Body Text 2"/>
    <w:basedOn w:val="1"/>
    <w:qFormat/>
    <w:uiPriority w:val="99"/>
    <w:pPr>
      <w:spacing w:after="120" w:line="480" w:lineRule="auto"/>
    </w:pPr>
    <w:rPr>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563C1"/>
      <w:u w:val="single"/>
    </w:rPr>
  </w:style>
  <w:style w:type="paragraph" w:customStyle="1" w:styleId="14">
    <w:name w:val="NormalIndent"/>
    <w:basedOn w:val="1"/>
    <w:qFormat/>
    <w:uiPriority w:val="0"/>
    <w:pPr>
      <w:ind w:firstLine="420" w:firstLineChars="200"/>
      <w:textAlignment w:val="baseline"/>
    </w:pPr>
  </w:style>
  <w:style w:type="character" w:customStyle="1" w:styleId="15">
    <w:name w:val="页脚 Char"/>
    <w:link w:val="5"/>
    <w:qFormat/>
    <w:uiPriority w:val="99"/>
    <w:rPr>
      <w:kern w:val="2"/>
      <w:sz w:val="18"/>
      <w:szCs w:val="18"/>
    </w:rPr>
  </w:style>
  <w:style w:type="paragraph" w:customStyle="1" w:styleId="1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7">
    <w:name w:val=" Char"/>
    <w:basedOn w:val="1"/>
    <w:qFormat/>
    <w:uiPriority w:val="0"/>
  </w:style>
  <w:style w:type="paragraph" w:styleId="18">
    <w:name w:val="List Paragraph"/>
    <w:basedOn w:val="1"/>
    <w:qFormat/>
    <w:uiPriority w:val="34"/>
    <w:pPr>
      <w:spacing w:line="560" w:lineRule="exact"/>
      <w:ind w:firstLine="420" w:firstLineChars="200"/>
    </w:pPr>
    <w:rPr>
      <w:rFonts w:ascii="Calibri" w:hAnsi="Calibri" w:eastAsia="宋体" w:cs="Times New Roman"/>
      <w:szCs w:val="22"/>
    </w:rPr>
  </w:style>
  <w:style w:type="character" w:customStyle="1" w:styleId="19">
    <w:name w:val="页眉 Char"/>
    <w:basedOn w:val="11"/>
    <w:link w:val="6"/>
    <w:qFormat/>
    <w:uiPriority w:val="99"/>
    <w:rPr>
      <w:kern w:val="2"/>
      <w:sz w:val="18"/>
      <w:szCs w:val="18"/>
    </w:rPr>
  </w:style>
  <w:style w:type="paragraph" w:customStyle="1" w:styleId="20">
    <w:name w:val="Heading3"/>
    <w:basedOn w:val="1"/>
    <w:next w:val="1"/>
    <w:qFormat/>
    <w:uiPriority w:val="0"/>
    <w:pPr>
      <w:keepNext/>
      <w:keepLines/>
      <w:spacing w:before="260" w:after="260" w:line="416" w:lineRule="auto"/>
      <w:jc w:val="both"/>
      <w:textAlignment w:val="baseline"/>
    </w:pPr>
    <w:rPr>
      <w:rFonts w:ascii="Calibri" w:hAnsi="Calibri" w:cs="黑体"/>
      <w:b/>
      <w:bCs/>
      <w:kern w:val="2"/>
      <w:sz w:val="32"/>
      <w:szCs w:val="32"/>
      <w:lang w:val="en-US" w:eastAsia="zh-CN" w:bidi="ar-SA"/>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2800</Words>
  <Characters>2838</Characters>
  <Lines>20</Lines>
  <Paragraphs>5</Paragraphs>
  <TotalTime>19</TotalTime>
  <ScaleCrop>false</ScaleCrop>
  <LinksUpToDate>false</LinksUpToDate>
  <CharactersWithSpaces>2947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2018-11-01T16:59:00Z</dcterms:created>
  <dc:creator>局办公室</dc:creator>
  <cp:lastModifiedBy>笙歌散尽游人去1414481352</cp:lastModifiedBy>
  <cp:lastPrinted>2025-01-17T11:44:00Z</cp:lastPrinted>
  <dcterms:modified xsi:type="dcterms:W3CDTF">2025-03-19T02:47:26Z</dcterms:modified>
  <dc:title>天 津 市 卫 生 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0A8348C0DFB14B599735529773FCB945</vt:lpwstr>
  </property>
</Properties>
</file>