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天津市城市管理工作常规考评标准（试行）</w:t>
      </w:r>
    </w:p>
    <w:p>
      <w:pPr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Cs w:val="32"/>
        </w:rPr>
        <w:t>一、组织管理</w:t>
      </w:r>
    </w:p>
    <w:tbl>
      <w:tblPr>
        <w:tblStyle w:val="6"/>
        <w:tblW w:w="14863" w:type="dxa"/>
        <w:jc w:val="center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6280"/>
        <w:gridCol w:w="451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考评项目</w:t>
            </w:r>
          </w:p>
        </w:tc>
        <w:tc>
          <w:tcPr>
            <w:tcW w:w="62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考评标准</w:t>
            </w:r>
          </w:p>
        </w:tc>
        <w:tc>
          <w:tcPr>
            <w:tcW w:w="45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评分标准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组织机构</w:t>
            </w:r>
          </w:p>
        </w:tc>
        <w:tc>
          <w:tcPr>
            <w:tcW w:w="628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</w:rPr>
              <w:t>城市管理工作有年度、季、月的工作计划和总结，管理责任落实，经常开展城市管理各专项治理</w:t>
            </w:r>
            <w:r>
              <w:rPr>
                <w:rFonts w:hint="eastAsia" w:ascii="仿宋_GB2312"/>
                <w:sz w:val="28"/>
                <w:szCs w:val="28"/>
              </w:rPr>
              <w:t>活动。</w:t>
            </w:r>
          </w:p>
        </w:tc>
        <w:tc>
          <w:tcPr>
            <w:tcW w:w="45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资料不全、归档不及时等扣0.5分</w:t>
            </w:r>
          </w:p>
        </w:tc>
        <w:tc>
          <w:tcPr>
            <w:tcW w:w="1990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区考核工作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落实情况</w:t>
            </w:r>
          </w:p>
        </w:tc>
        <w:tc>
          <w:tcPr>
            <w:tcW w:w="628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区城市管理考核工作要有考核计划、考核方案、考核情况报告等文字资料。</w:t>
            </w:r>
          </w:p>
        </w:tc>
        <w:tc>
          <w:tcPr>
            <w:tcW w:w="45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资料不全、归档不及时等扣0.5分</w:t>
            </w:r>
          </w:p>
        </w:tc>
        <w:tc>
          <w:tcPr>
            <w:tcW w:w="1990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Cs w:val="32"/>
              </w:rPr>
            </w:pPr>
          </w:p>
        </w:tc>
      </w:tr>
    </w:tbl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二、市容市貌管理</w:t>
      </w:r>
    </w:p>
    <w:tbl>
      <w:tblPr>
        <w:tblStyle w:val="6"/>
        <w:tblW w:w="14822" w:type="dxa"/>
        <w:jc w:val="center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300"/>
        <w:gridCol w:w="4577"/>
        <w:gridCol w:w="67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考评项目</w:t>
            </w:r>
          </w:p>
        </w:tc>
        <w:tc>
          <w:tcPr>
            <w:tcW w:w="63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考评标准</w:t>
            </w:r>
          </w:p>
        </w:tc>
        <w:tc>
          <w:tcPr>
            <w:tcW w:w="45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评分标准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0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建筑立面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道路两侧建筑立面整洁统一，街景色调和谐。</w:t>
            </w:r>
          </w:p>
        </w:tc>
        <w:tc>
          <w:tcPr>
            <w:tcW w:w="4577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20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户外广告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户外广告和商业牌匾依法设置，设置符合设置规划</w:t>
            </w:r>
          </w:p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和规范，协调整齐。无断亮、缺笔短画、设施陈旧等现象。</w:t>
            </w:r>
          </w:p>
        </w:tc>
        <w:tc>
          <w:tcPr>
            <w:tcW w:w="4577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20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城市家具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城市家具依据《城市家具导则》设置、便民实用、美观大方。无设置不合理、设施陈旧、占压盲道等。</w:t>
            </w:r>
          </w:p>
        </w:tc>
        <w:tc>
          <w:tcPr>
            <w:tcW w:w="4577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0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夜景灯光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夜景灯光（按规划设计设置）、突出区域特色，开启率达到95%、完好率达到98%。</w:t>
            </w:r>
          </w:p>
        </w:tc>
        <w:tc>
          <w:tcPr>
            <w:tcW w:w="4577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0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道  路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无违法建设，无非法占道经营，无乱贴乱画。</w:t>
            </w:r>
          </w:p>
        </w:tc>
        <w:tc>
          <w:tcPr>
            <w:tcW w:w="4577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</w:t>
            </w:r>
          </w:p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扣0.3分，里巷道路扣0.1分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0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建筑工地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建筑工地实墙围挡、物料堆放整齐、苫盖遮挡。</w:t>
            </w:r>
          </w:p>
        </w:tc>
        <w:tc>
          <w:tcPr>
            <w:tcW w:w="4644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826" w:type="dxa"/>
            <w:vAlign w:val="top"/>
          </w:tcPr>
          <w:p>
            <w:pPr>
              <w:spacing w:line="36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0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城市雕塑、时钟</w:t>
            </w:r>
          </w:p>
        </w:tc>
        <w:tc>
          <w:tcPr>
            <w:tcW w:w="630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城市雕塑、时钟完好整洁、功能正常。</w:t>
            </w:r>
          </w:p>
        </w:tc>
        <w:tc>
          <w:tcPr>
            <w:tcW w:w="4644" w:type="dxa"/>
            <w:gridSpan w:val="2"/>
            <w:vAlign w:val="top"/>
          </w:tcPr>
          <w:p>
            <w:pPr>
              <w:spacing w:line="32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826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/>
          <w:sz w:val="10"/>
          <w:szCs w:val="10"/>
        </w:rPr>
      </w:pP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三、环境卫生和环卫设施管理</w:t>
      </w:r>
    </w:p>
    <w:tbl>
      <w:tblPr>
        <w:tblStyle w:val="6"/>
        <w:tblW w:w="14822" w:type="dxa"/>
        <w:jc w:val="center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728"/>
        <w:gridCol w:w="471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考评项目</w:t>
            </w:r>
          </w:p>
        </w:tc>
        <w:tc>
          <w:tcPr>
            <w:tcW w:w="5728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考评标准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评分标准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道路扫保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</w:rPr>
              <w:t>快速路、主干道路、立交桥和重点地区保持20小时作业，次干道路、支路和人行天桥、跨河桥梁保持16小时作业，里巷道路保持12小时以上清扫保洁作业，清扫保洁率达100%。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洒水保洁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人行道净、绿地净、树穴净、排水口净，无废弃物堆积，无运输撒漏，机扫水洗率达到40%以上。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公厕垃圾转运站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公共厕所、垃圾转运站等环卫设施布局合理，功能完备，转运正常，内外干净整洁。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集贸市场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集贸市场管理规范，公厕专人保洁。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废弃物容器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废弃物容器完善、整洁，实行袋装。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单位和居民区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生活废弃物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单位和居民区生活废弃物清运及时，日产日清，实行密闭收集运输，无害化处理，积极推行废弃物分类收集试点工作。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河道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河道两岸无垃圾堆存、无杂草、无漂浮物、水体清洁。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停车场、公交始末站、施工工地、沿街单位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停存车场、公交始末站、施工工地、沿街单位落实门前卫生责任制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Cs w:val="32"/>
        </w:rPr>
        <w:t>四、环境秩序管理</w:t>
      </w:r>
    </w:p>
    <w:tbl>
      <w:tblPr>
        <w:tblStyle w:val="6"/>
        <w:tblW w:w="14822" w:type="dxa"/>
        <w:jc w:val="center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728"/>
        <w:gridCol w:w="471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考评项目</w:t>
            </w:r>
          </w:p>
        </w:tc>
        <w:tc>
          <w:tcPr>
            <w:tcW w:w="5728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考评标准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评分标准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主干道路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重点地区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学校管理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主干道路、重点地区、学校周边地区无占路摆卖，次支道路和居民区无成片的摊群聚集点。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道路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道路两侧无马路烧烤、马路餐桌、马路作业。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违章建筑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道路两侧、居民区内无违章建筑、违章建设，无新建违章。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候车亭、电话亭、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报刊亭管理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候车亭、电话亭、报刊亭布局合理，依法设置。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沿街商业门脸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沿街商业门脸无里空外卖、店外摆卖，无乱堆乱放、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乱摊乱占。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便民服务摊点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便民服务摊点统一规范、严格管理、限时限地经营。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</w:rPr>
              <w:t>沿街建筑物或构筑物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沿街建筑物或构筑物无乱涂乱画、乱吊乱挂、无立面张贴。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Cs w:val="32"/>
        </w:rPr>
        <w:t>五、园林绿化管理</w:t>
      </w:r>
    </w:p>
    <w:tbl>
      <w:tblPr>
        <w:tblStyle w:val="6"/>
        <w:tblW w:w="14822" w:type="dxa"/>
        <w:jc w:val="center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728"/>
        <w:gridCol w:w="471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考评项目</w:t>
            </w:r>
          </w:p>
        </w:tc>
        <w:tc>
          <w:tcPr>
            <w:tcW w:w="5728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考评标准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评分标准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绿地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公园、绿地相间，布局均衡合理，生态效益显著。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植物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植物品种多样，乔灌花草配置科学，绿地系统稳定。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养护管理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养护管理规范，植物生长茂盛，病虫害得到有效控制，无枯枝死树，无损毁占压，无斑秃裸露，设施完好。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绿化效果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绿化效果精致大气、层次丰富、自然流畅、季相鲜明、葱郁厚重。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Cs w:val="32"/>
        </w:rPr>
        <w:t>六、市政设施管理</w:t>
      </w:r>
    </w:p>
    <w:tbl>
      <w:tblPr>
        <w:tblStyle w:val="6"/>
        <w:tblW w:w="14822" w:type="dxa"/>
        <w:jc w:val="center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728"/>
        <w:gridCol w:w="471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59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考评项目</w:t>
            </w:r>
          </w:p>
        </w:tc>
        <w:tc>
          <w:tcPr>
            <w:tcW w:w="572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考评标准</w:t>
            </w:r>
          </w:p>
        </w:tc>
        <w:tc>
          <w:tcPr>
            <w:tcW w:w="471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259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机动车道路</w:t>
            </w:r>
          </w:p>
        </w:tc>
        <w:tc>
          <w:tcPr>
            <w:tcW w:w="5728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机动车道路路面平顺，设施保持完好。</w:t>
            </w:r>
          </w:p>
        </w:tc>
        <w:tc>
          <w:tcPr>
            <w:tcW w:w="471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59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非机动车道路</w:t>
            </w:r>
          </w:p>
        </w:tc>
        <w:tc>
          <w:tcPr>
            <w:tcW w:w="5728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非机动车道路路面平整，结构完好。</w:t>
            </w:r>
          </w:p>
        </w:tc>
        <w:tc>
          <w:tcPr>
            <w:tcW w:w="471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259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人行道</w:t>
            </w:r>
          </w:p>
        </w:tc>
        <w:tc>
          <w:tcPr>
            <w:tcW w:w="5728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人行道花砖无塌陷、无缺损，表面平整。</w:t>
            </w:r>
          </w:p>
        </w:tc>
        <w:tc>
          <w:tcPr>
            <w:tcW w:w="471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59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桥梁</w:t>
            </w:r>
          </w:p>
        </w:tc>
        <w:tc>
          <w:tcPr>
            <w:tcW w:w="5728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桥梁安全运营、清洁美观。</w:t>
            </w:r>
          </w:p>
        </w:tc>
        <w:tc>
          <w:tcPr>
            <w:tcW w:w="471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每发现一处扣0.5分 </w:t>
            </w:r>
          </w:p>
        </w:tc>
        <w:tc>
          <w:tcPr>
            <w:tcW w:w="179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259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路名牌</w:t>
            </w:r>
          </w:p>
        </w:tc>
        <w:tc>
          <w:tcPr>
            <w:tcW w:w="5728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道路路名牌标志齐全、统一规范、干净整洁。</w:t>
            </w:r>
          </w:p>
        </w:tc>
        <w:tc>
          <w:tcPr>
            <w:tcW w:w="471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259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排水系统</w:t>
            </w:r>
          </w:p>
        </w:tc>
        <w:tc>
          <w:tcPr>
            <w:tcW w:w="5728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排水系统通畅。</w:t>
            </w:r>
          </w:p>
        </w:tc>
        <w:tc>
          <w:tcPr>
            <w:tcW w:w="471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259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次支河道</w:t>
            </w:r>
          </w:p>
        </w:tc>
        <w:tc>
          <w:tcPr>
            <w:tcW w:w="5728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次支河道护坡完好，水质、水位达标。</w:t>
            </w:r>
          </w:p>
        </w:tc>
        <w:tc>
          <w:tcPr>
            <w:tcW w:w="471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每发现一处扣0.5分</w:t>
            </w:r>
          </w:p>
        </w:tc>
        <w:tc>
          <w:tcPr>
            <w:tcW w:w="179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</w:tbl>
    <w:p>
      <w:pPr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Cs w:val="32"/>
        </w:rPr>
        <w:t>七、道路交通管理</w:t>
      </w:r>
    </w:p>
    <w:tbl>
      <w:tblPr>
        <w:tblStyle w:val="6"/>
        <w:tblW w:w="14863" w:type="dxa"/>
        <w:jc w:val="center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6280"/>
        <w:gridCol w:w="451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考评项目</w:t>
            </w:r>
          </w:p>
        </w:tc>
        <w:tc>
          <w:tcPr>
            <w:tcW w:w="6280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考评标准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评分标准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交通设施、标志</w:t>
            </w:r>
          </w:p>
        </w:tc>
        <w:tc>
          <w:tcPr>
            <w:tcW w:w="628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交通设施、标志、标线设置位置明显、规范合理，清晰整洁、完好无损、方便通行。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交通组织</w:t>
            </w:r>
          </w:p>
        </w:tc>
        <w:tc>
          <w:tcPr>
            <w:tcW w:w="628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交通组织科学有效，主次干道无乱停乱放车辆，主干道路不出现因管理不到位造成的交通堵塞，交通事故少、秩序好，遇突发事件处理快。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停车管理</w:t>
            </w:r>
          </w:p>
        </w:tc>
        <w:tc>
          <w:tcPr>
            <w:tcW w:w="628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道路停车有序、停存车场管理规范、干净整洁。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</w:tr>
    </w:tbl>
    <w:p>
      <w:pPr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Cs w:val="32"/>
        </w:rPr>
        <w:t>八、路灯照明管理</w:t>
      </w:r>
    </w:p>
    <w:tbl>
      <w:tblPr>
        <w:tblStyle w:val="6"/>
        <w:tblW w:w="14822" w:type="dxa"/>
        <w:jc w:val="center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300"/>
        <w:gridCol w:w="4577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考评项目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考评标准</w:t>
            </w:r>
          </w:p>
        </w:tc>
        <w:tc>
          <w:tcPr>
            <w:tcW w:w="4577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评分标准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照明设施设置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确保照明设施完好，城市主要道路、街巷设置路灯照明装置。</w:t>
            </w:r>
          </w:p>
        </w:tc>
        <w:tc>
          <w:tcPr>
            <w:tcW w:w="4577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893" w:type="dxa"/>
            <w:vAlign w:val="top"/>
          </w:tcPr>
          <w:p>
            <w:pPr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照明设施管理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同一条道路的路灯灯杆、灯具、光源、安装要统一、整齐、协调。街景照明和路灯照明无损坏，路灯亮化率达到100%。</w:t>
            </w:r>
          </w:p>
        </w:tc>
        <w:tc>
          <w:tcPr>
            <w:tcW w:w="4577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893" w:type="dxa"/>
            <w:vAlign w:val="top"/>
          </w:tcPr>
          <w:p>
            <w:pPr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照明设施维护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各类照明设施应无乱涂乱画、无乱张贴，周边环境卫生请洁干净。</w:t>
            </w:r>
          </w:p>
        </w:tc>
        <w:tc>
          <w:tcPr>
            <w:tcW w:w="4577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893" w:type="dxa"/>
            <w:vAlign w:val="top"/>
          </w:tcPr>
          <w:p>
            <w:pPr>
              <w:rPr>
                <w:rFonts w:hint="eastAsia" w:ascii="仿宋_GB2312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九、综合执法管理</w:t>
      </w:r>
    </w:p>
    <w:p>
      <w:pPr>
        <w:rPr>
          <w:rFonts w:hint="eastAsia" w:ascii="仿宋_GB2312"/>
          <w:sz w:val="18"/>
          <w:szCs w:val="18"/>
        </w:rPr>
      </w:pPr>
    </w:p>
    <w:tbl>
      <w:tblPr>
        <w:tblStyle w:val="6"/>
        <w:tblW w:w="14822" w:type="dxa"/>
        <w:jc w:val="center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728"/>
        <w:gridCol w:w="471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考评项目</w:t>
            </w:r>
          </w:p>
        </w:tc>
        <w:tc>
          <w:tcPr>
            <w:tcW w:w="5728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考评标准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评分标准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示范路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落实编制，健全机构，完善制度，责任到人。依法执法，公平、公正、严格执法，示范路达到“十无”标准：无违章棚亭，无乱摆乱卖，无店外摆卖，无马路餐桌、露天烧烤、无马路加工、马路作业、无乱堆乱放、乱吊乱挂、无乱贴乱画、无外摆灯箱、广告牌、无乱设布标幔帐、气拱门，沿街商店的牌匾字号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无残旧、缺笔少划。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严管路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严管路达到“八无”标准：无违章棚亭，无乱摆乱卖，无店外摆卖，无马路餐桌、露天烧烤、无马路加工、马路作业、无乱堆乱放、乱吊乱挂、无乱贴乱画、无外摆灯箱、广告牌。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每发现一处扣0.3分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规范路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规范路达到“六无”标准：无违章棚亭，无乱摆乱卖，无店外摆卖，无马路餐桌、露天烧烤，无乱贴乱画、无外摆灯箱、广告牌。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违法建筑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全市无新建违法建筑。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乱摆乱卖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全市主干道路、居民区、入市口和重点结合部无成片乱摆乱卖。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每发现一处主干道路、居民区、入市口和重点结合部扣0.5分，次支道路扣0.3分，里巷道路扣0.1分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规范管理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无以罚代管“放水养鱼”行为。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每发生一次扣0.5分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行政管理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无行政管理不作为。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每发生一次扣1分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执法公正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无重大执法违法行政败诉事件。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每发生一次扣2分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违法违纪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无执法人员严重违法违纪行为。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每发生一次扣5分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十、数字化城管及投诉办理情况</w:t>
      </w:r>
    </w:p>
    <w:p>
      <w:pPr>
        <w:rPr>
          <w:rFonts w:hint="eastAsia" w:ascii="仿宋_GB2312"/>
          <w:sz w:val="18"/>
          <w:szCs w:val="18"/>
        </w:rPr>
      </w:pPr>
    </w:p>
    <w:tbl>
      <w:tblPr>
        <w:tblStyle w:val="6"/>
        <w:tblW w:w="14822" w:type="dxa"/>
        <w:jc w:val="center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728"/>
        <w:gridCol w:w="471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考评项目</w:t>
            </w:r>
          </w:p>
        </w:tc>
        <w:tc>
          <w:tcPr>
            <w:tcW w:w="5728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考评标准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评分标准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数字化城管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数字化城市管理监控指挥中心和数据中心，实现全方位、全覆盖、无缝隙管理，提升科学化、现代化城市管理水平。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每发现一次有问题扣0.5分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信访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信访投诉要达到制度完善，程序规范、限时办理、整改到位。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每发现一次有问题扣0.5分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办复率、群众满意率</w:t>
            </w:r>
          </w:p>
        </w:tc>
        <w:tc>
          <w:tcPr>
            <w:tcW w:w="572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办复率、群众满意率均达到95%以上，无重访、缠访、集体访和进京上访的现象。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90%—95%扣0.1分，85%—90%扣0.3分，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80%—85%扣0.5分，80%以下扣1分</w:t>
            </w:r>
          </w:p>
        </w:tc>
        <w:tc>
          <w:tcPr>
            <w:tcW w:w="1790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/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2018-03-08T02:42:49Z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