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ind w:firstLine="316" w:firstLineChars="1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附件1</w:t>
      </w:r>
    </w:p>
    <w:p>
      <w:pPr>
        <w:pStyle w:val="3"/>
        <w:spacing w:before="0" w:beforeAutospacing="0" w:after="0" w:afterAutospacing="0"/>
        <w:jc w:val="center"/>
        <w:rPr>
          <w:rFonts w:hint="eastAsia" w:ascii="长城小标宋体" w:eastAsia="长城小标宋体"/>
          <w:sz w:val="44"/>
          <w:szCs w:val="44"/>
        </w:rPr>
      </w:pPr>
      <w:r>
        <w:rPr>
          <w:rFonts w:hint="eastAsia" w:ascii="长城小标宋体" w:eastAsia="长城小标宋体"/>
          <w:sz w:val="44"/>
          <w:szCs w:val="44"/>
        </w:rPr>
        <w:t>2010年河东区政府系统调研参考课题</w:t>
      </w:r>
    </w:p>
    <w:p>
      <w:pPr>
        <w:ind w:firstLine="632" w:firstLineChars="200"/>
        <w:rPr>
          <w:rFonts w:hint="eastAsia" w:ascii="仿宋_GB2312" w:cs="Arial"/>
          <w:szCs w:val="32"/>
        </w:rPr>
      </w:pPr>
    </w:p>
    <w:p>
      <w:pPr>
        <w:ind w:firstLine="632" w:firstLineChars="200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1、关于推进河东区 “全速发展、提速发展、超常规发展”的对策研究；</w:t>
      </w:r>
    </w:p>
    <w:p>
      <w:pPr>
        <w:ind w:firstLine="632" w:firstLineChars="200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2、关于促进河东区“发展起来、繁荣起来、漂亮起来”的对策研究；</w:t>
      </w:r>
    </w:p>
    <w:p>
      <w:pPr>
        <w:ind w:firstLine="632" w:firstLineChars="200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 xml:space="preserve">3、关于加快构筑“一三六六”现代产业发展格局的对策研究； </w:t>
      </w:r>
    </w:p>
    <w:p>
      <w:pPr>
        <w:ind w:firstLine="632" w:firstLineChars="200"/>
        <w:rPr>
          <w:rFonts w:hint="eastAsia" w:ascii="仿宋_GB2312" w:cs="Arial"/>
          <w:szCs w:val="32"/>
        </w:rPr>
      </w:pPr>
      <w:r>
        <w:rPr>
          <w:rFonts w:hint="eastAsia" w:ascii="仿宋_GB2312"/>
          <w:szCs w:val="32"/>
        </w:rPr>
        <w:t>4、</w:t>
      </w:r>
      <w:r>
        <w:rPr>
          <w:rFonts w:hint="eastAsia" w:ascii="仿宋_GB2312" w:cs="Arial"/>
          <w:szCs w:val="32"/>
        </w:rPr>
        <w:t>关于促进商业繁荣繁华的对策研究；</w:t>
      </w:r>
    </w:p>
    <w:p>
      <w:pPr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5、关</w:t>
      </w:r>
      <w:r>
        <w:rPr>
          <w:rFonts w:hint="eastAsia" w:ascii="仿宋_GB2312" w:hAnsi="宋体"/>
          <w:szCs w:val="32"/>
        </w:rPr>
        <w:t>于对土地开发建设新模式的探索</w:t>
      </w:r>
      <w:r>
        <w:rPr>
          <w:rFonts w:hint="eastAsia" w:ascii="仿宋_GB2312"/>
          <w:szCs w:val="32"/>
        </w:rPr>
        <w:t>；</w:t>
      </w:r>
    </w:p>
    <w:p>
      <w:pPr>
        <w:ind w:firstLine="632" w:firstLineChars="200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6、关于调整优化税源结构的对策研究；</w:t>
      </w:r>
    </w:p>
    <w:p>
      <w:pPr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7、关于大力发展金融服务业的对策研究；</w:t>
      </w:r>
    </w:p>
    <w:p>
      <w:pPr>
        <w:ind w:firstLine="632" w:firstLineChars="200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8、关于发展特色街区的对策研究；</w:t>
      </w:r>
    </w:p>
    <w:p>
      <w:pPr>
        <w:ind w:firstLine="632" w:firstLineChars="200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9、关于做大做强楼宇经济的对策研究；</w:t>
      </w:r>
    </w:p>
    <w:p>
      <w:pPr>
        <w:ind w:firstLine="632" w:firstLineChars="200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10、</w:t>
      </w:r>
      <w:r>
        <w:rPr>
          <w:rFonts w:hint="eastAsia" w:ascii="仿宋_GB2312"/>
          <w:szCs w:val="32"/>
        </w:rPr>
        <w:t>关于提升天津站管理水平的对策研究；</w:t>
      </w:r>
    </w:p>
    <w:p>
      <w:pPr>
        <w:ind w:firstLine="632" w:firstLineChars="200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11、关于提速发展文化创意产业的对策研究；</w:t>
      </w:r>
    </w:p>
    <w:p>
      <w:pPr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12、</w:t>
      </w:r>
      <w:r>
        <w:rPr>
          <w:rFonts w:hint="eastAsia" w:ascii="仿宋_GB2312" w:cs="Arial"/>
          <w:szCs w:val="32"/>
        </w:rPr>
        <w:t>关于建设宜商宜居活力城的对策研究；</w:t>
      </w:r>
    </w:p>
    <w:p>
      <w:pPr>
        <w:ind w:firstLine="632" w:firstLineChars="200"/>
        <w:rPr>
          <w:rFonts w:hint="eastAsia" w:ascii="仿宋_GB2312" w:cs="Arial"/>
          <w:szCs w:val="32"/>
        </w:rPr>
      </w:pPr>
      <w:r>
        <w:rPr>
          <w:rFonts w:hint="eastAsia" w:ascii="仿宋_GB2312"/>
          <w:szCs w:val="32"/>
        </w:rPr>
        <w:t>13、</w:t>
      </w:r>
      <w:r>
        <w:rPr>
          <w:rFonts w:hint="eastAsia" w:ascii="仿宋_GB2312" w:hAnsi="宋体"/>
          <w:szCs w:val="32"/>
        </w:rPr>
        <w:t>关于进一步优化投资发展环境的调查研究；</w:t>
      </w:r>
    </w:p>
    <w:p>
      <w:pPr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14、关于进一步完善社会保障体系建设的对策研究；</w:t>
      </w:r>
    </w:p>
    <w:p>
      <w:pPr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15、关于做好拆迁居民安置工作的对策研究；</w:t>
      </w:r>
    </w:p>
    <w:p>
      <w:pPr>
        <w:ind w:firstLine="632" w:firstLineChars="200"/>
        <w:rPr>
          <w:rFonts w:hint="eastAsia" w:ascii="仿宋_GB2312" w:hAnsi="宋体"/>
          <w:szCs w:val="32"/>
        </w:rPr>
      </w:pPr>
      <w:r>
        <w:rPr>
          <w:rFonts w:hint="eastAsia" w:ascii="仿宋_GB2312"/>
          <w:szCs w:val="32"/>
        </w:rPr>
        <w:t>16、关于</w:t>
      </w:r>
      <w:r>
        <w:rPr>
          <w:rFonts w:hint="eastAsia" w:ascii="仿宋_GB2312" w:hAnsi="宋体"/>
          <w:szCs w:val="32"/>
        </w:rPr>
        <w:t>全面提升教育综合实力的对策研究；</w:t>
      </w:r>
    </w:p>
    <w:p>
      <w:pPr>
        <w:ind w:right="309" w:rightChars="98" w:firstLine="552" w:firstLineChars="200"/>
        <w:jc w:val="righ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-1-</w:t>
      </w:r>
    </w:p>
    <w:p>
      <w:pPr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17、</w:t>
      </w:r>
      <w:r>
        <w:rPr>
          <w:rFonts w:hint="eastAsia" w:ascii="仿宋_GB2312" w:hAnsi="宋体"/>
          <w:szCs w:val="32"/>
        </w:rPr>
        <w:t>关于大力促进科技创新的对策研究</w:t>
      </w:r>
      <w:r>
        <w:rPr>
          <w:rFonts w:hint="eastAsia" w:ascii="仿宋_GB2312"/>
          <w:szCs w:val="32"/>
        </w:rPr>
        <w:t>；</w:t>
      </w:r>
    </w:p>
    <w:p>
      <w:pPr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18、关于促进文化大发展、大繁荣的对策研究；</w:t>
      </w:r>
    </w:p>
    <w:p>
      <w:pPr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19、关于进一步提高稳定就业率的对策研究；</w:t>
      </w:r>
    </w:p>
    <w:p>
      <w:pPr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20、关于全面提升卫生服务水平的调查研究；</w:t>
      </w:r>
    </w:p>
    <w:p>
      <w:pPr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21、关于推行信访代理制度的对策研究；</w:t>
      </w:r>
    </w:p>
    <w:p>
      <w:pPr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22、关于全面促进社会养老事业发展的对策研究。</w:t>
      </w:r>
    </w:p>
    <w:p>
      <w:pPr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23、</w:t>
      </w:r>
      <w:r>
        <w:rPr>
          <w:rFonts w:hint="eastAsia" w:ascii="仿宋_GB2312" w:hAnsi="宋体"/>
          <w:szCs w:val="32"/>
        </w:rPr>
        <w:t>关于深入开展审批服务大提速的调查研究；</w:t>
      </w:r>
    </w:p>
    <w:p>
      <w:pPr>
        <w:ind w:firstLine="632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24、关于提高依法行政水平的对策研究；</w:t>
      </w:r>
    </w:p>
    <w:p>
      <w:pPr>
        <w:ind w:firstLine="632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25、</w:t>
      </w:r>
      <w:r>
        <w:rPr>
          <w:rFonts w:hint="eastAsia" w:ascii="仿宋_GB2312" w:hAnsi="宋体" w:cs="宋体"/>
          <w:szCs w:val="32"/>
        </w:rPr>
        <w:t>关于加强反腐倡廉建设的对策研究。</w:t>
      </w:r>
    </w:p>
    <w:p>
      <w:pPr>
        <w:rPr>
          <w:rFonts w:hint="eastAsia" w:ascii="仿宋_GB2312" w:hAnsi="宋体" w:cs="宋体"/>
          <w:szCs w:val="32"/>
        </w:rPr>
      </w:pPr>
    </w:p>
    <w:p>
      <w:pPr>
        <w:rPr>
          <w:rFonts w:hint="eastAsia" w:ascii="仿宋_GB2312" w:hAnsi="宋体" w:cs="宋体"/>
          <w:szCs w:val="32"/>
        </w:rPr>
      </w:pPr>
    </w:p>
    <w:p>
      <w:pPr>
        <w:rPr>
          <w:rFonts w:hint="eastAsia" w:ascii="仿宋_GB2312" w:hAnsi="宋体" w:cs="宋体"/>
          <w:szCs w:val="32"/>
        </w:rPr>
      </w:pPr>
    </w:p>
    <w:p>
      <w:pPr>
        <w:rPr>
          <w:rFonts w:hint="eastAsia" w:ascii="仿宋_GB2312" w:hAnsi="宋体" w:cs="宋体"/>
          <w:szCs w:val="32"/>
        </w:rPr>
      </w:pPr>
    </w:p>
    <w:p>
      <w:pPr>
        <w:rPr>
          <w:rFonts w:hint="eastAsia" w:ascii="仿宋_GB2312" w:hAnsi="宋体" w:cs="宋体"/>
          <w:szCs w:val="32"/>
        </w:rPr>
      </w:pPr>
    </w:p>
    <w:p>
      <w:pPr>
        <w:rPr>
          <w:rFonts w:hint="eastAsia" w:ascii="仿宋_GB2312" w:hAnsi="宋体" w:cs="宋体"/>
          <w:szCs w:val="32"/>
        </w:rPr>
      </w:pPr>
    </w:p>
    <w:p>
      <w:pPr>
        <w:rPr>
          <w:rFonts w:hint="eastAsia" w:ascii="仿宋_GB2312" w:hAnsi="宋体" w:cs="宋体"/>
          <w:szCs w:val="32"/>
        </w:rPr>
      </w:pPr>
    </w:p>
    <w:p>
      <w:pPr>
        <w:rPr>
          <w:rFonts w:hint="eastAsia" w:ascii="仿宋_GB2312" w:hAnsi="宋体" w:cs="宋体"/>
          <w:szCs w:val="32"/>
        </w:rPr>
      </w:pPr>
    </w:p>
    <w:p>
      <w:pPr>
        <w:rPr>
          <w:rFonts w:hint="eastAsia" w:ascii="仿宋_GB2312" w:hAnsi="宋体" w:cs="宋体"/>
          <w:szCs w:val="32"/>
        </w:rPr>
      </w:pPr>
    </w:p>
    <w:p>
      <w:pPr>
        <w:rPr>
          <w:rFonts w:hint="eastAsia" w:ascii="仿宋_GB2312" w:hAnsi="宋体" w:cs="宋体"/>
          <w:szCs w:val="32"/>
        </w:rPr>
      </w:pPr>
    </w:p>
    <w:p>
      <w:pPr>
        <w:rPr>
          <w:rFonts w:hint="eastAsia" w:ascii="仿宋_GB2312" w:hAnsi="宋体" w:cs="宋体"/>
          <w:szCs w:val="32"/>
        </w:rPr>
      </w:pPr>
    </w:p>
    <w:p>
      <w:pPr>
        <w:rPr>
          <w:rFonts w:hint="eastAsia" w:ascii="仿宋_GB2312" w:hAnsi="宋体" w:cs="宋体"/>
          <w:szCs w:val="32"/>
        </w:rPr>
      </w:pPr>
    </w:p>
    <w:p>
      <w:pPr>
        <w:rPr>
          <w:rFonts w:hint="eastAsia" w:ascii="仿宋_GB2312" w:hAnsi="宋体" w:cs="宋体"/>
          <w:szCs w:val="32"/>
        </w:rPr>
      </w:pPr>
    </w:p>
    <w:p>
      <w:pPr>
        <w:ind w:firstLine="276" w:firstLineChars="100"/>
        <w:rPr>
          <w:rFonts w:hint="eastAsia" w:ascii="仿宋_GB2312" w:hAnsi="宋体" w:cs="宋体"/>
          <w:sz w:val="28"/>
          <w:szCs w:val="28"/>
        </w:rPr>
        <w:sectPr>
          <w:footerReference r:id="rId3" w:type="even"/>
          <w:pgSz w:w="11906" w:h="16838"/>
          <w:pgMar w:top="1531" w:right="1474" w:bottom="1985" w:left="1588" w:header="851" w:footer="992" w:gutter="0"/>
          <w:cols w:space="425" w:num="1"/>
          <w:docGrid w:type="linesAndChars" w:linePitch="579" w:charSpace="-849"/>
        </w:sectPr>
      </w:pPr>
      <w:r>
        <w:rPr>
          <w:rFonts w:hint="eastAsia" w:ascii="仿宋_GB2312" w:hAnsi="宋体" w:cs="宋体"/>
          <w:sz w:val="28"/>
          <w:szCs w:val="28"/>
        </w:rPr>
        <w:t>-2-</w:t>
      </w:r>
    </w:p>
    <w:p>
      <w:pPr>
        <w:rPr>
          <w:rFonts w:hint="eastAsia"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附件2</w:t>
      </w:r>
    </w:p>
    <w:p>
      <w:pPr>
        <w:jc w:val="center"/>
        <w:rPr>
          <w:rFonts w:hint="eastAsia" w:ascii="长城小标宋体" w:hAnsi="宋体" w:eastAsia="长城小标宋体"/>
          <w:sz w:val="44"/>
          <w:szCs w:val="44"/>
        </w:rPr>
      </w:pPr>
      <w:r>
        <w:rPr>
          <w:rFonts w:hint="eastAsia" w:ascii="长城小标宋体" w:hAnsi="宋体" w:eastAsia="长城小标宋体"/>
          <w:sz w:val="44"/>
          <w:szCs w:val="44"/>
        </w:rPr>
        <w:t>2010年河东区政府系统调研课题申报表</w:t>
      </w:r>
    </w:p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填报单位（公章）：</w:t>
      </w:r>
    </w:p>
    <w:tbl>
      <w:tblPr>
        <w:tblStyle w:val="7"/>
        <w:tblW w:w="14220" w:type="dxa"/>
        <w:tblInd w:w="-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240"/>
        <w:gridCol w:w="1980"/>
        <w:gridCol w:w="1980"/>
        <w:gridCol w:w="1980"/>
        <w:gridCol w:w="1980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序号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课题名称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撰稿人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完成时间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分管领导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联系电话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其他说明事项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78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78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78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78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78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</w:tbl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领导签字：                           填表人：                           填报时间：</w:t>
      </w:r>
    </w:p>
    <w:p>
      <w:pPr>
        <w:rPr>
          <w:rFonts w:hint="eastAsia" w:ascii="仿宋_GB2312" w:hAnsi="宋体"/>
          <w:szCs w:val="32"/>
        </w:rPr>
        <w:sectPr>
          <w:pgSz w:w="16838" w:h="11906" w:orient="landscape"/>
          <w:pgMar w:top="1588" w:right="1440" w:bottom="1588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/>
          <w:szCs w:val="32"/>
        </w:rPr>
        <w:t xml:space="preserve">   </w:t>
      </w:r>
    </w:p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附件3</w:t>
      </w:r>
    </w:p>
    <w:p>
      <w:pPr>
        <w:jc w:val="center"/>
        <w:rPr>
          <w:rFonts w:hint="eastAsia" w:ascii="长城小标宋体" w:hAnsi="宋体" w:eastAsia="长城小标宋体"/>
          <w:sz w:val="44"/>
          <w:szCs w:val="44"/>
        </w:rPr>
      </w:pPr>
      <w:r>
        <w:rPr>
          <w:rFonts w:hint="eastAsia" w:ascii="长城小标宋体" w:hAnsi="宋体" w:eastAsia="长城小标宋体"/>
          <w:sz w:val="44"/>
          <w:szCs w:val="44"/>
        </w:rPr>
        <w:t>河东区政府系统调研工作联络员</w:t>
      </w:r>
    </w:p>
    <w:p>
      <w:pPr>
        <w:jc w:val="center"/>
        <w:rPr>
          <w:rFonts w:hint="eastAsia" w:ascii="长城小标宋体" w:hAnsi="宋体" w:eastAsia="长城小标宋体"/>
          <w:sz w:val="44"/>
          <w:szCs w:val="44"/>
        </w:rPr>
      </w:pPr>
      <w:r>
        <w:rPr>
          <w:rFonts w:hint="eastAsia" w:ascii="长城小标宋体" w:hAnsi="宋体" w:eastAsia="长城小标宋体"/>
          <w:sz w:val="44"/>
          <w:szCs w:val="44"/>
        </w:rPr>
        <w:t>基本情况登记表</w:t>
      </w:r>
    </w:p>
    <w:p>
      <w:pPr>
        <w:jc w:val="center"/>
        <w:rPr>
          <w:rFonts w:hint="eastAsia" w:ascii="仿宋_GB2312" w:hAnsi="宋体"/>
          <w:b/>
          <w:szCs w:val="32"/>
        </w:rPr>
      </w:pPr>
    </w:p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填报单位（公章）：</w:t>
      </w:r>
    </w:p>
    <w:tbl>
      <w:tblPr>
        <w:tblStyle w:val="7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性别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年龄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学历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科室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办公电话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电子邮箱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本年度承担的调研课题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64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64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</w:tbl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领导签字：                          填报时间：</w:t>
      </w:r>
    </w:p>
    <w:p>
      <w:pPr>
        <w:rPr>
          <w:rFonts w:hint="eastAsia" w:ascii="仿宋_GB2312" w:hAnsi="宋体"/>
          <w:szCs w:val="32"/>
        </w:rPr>
      </w:pPr>
    </w:p>
    <w:p>
      <w:pPr>
        <w:rPr>
          <w:rFonts w:hint="eastAsia" w:ascii="仿宋_GB2312" w:hAnsi="宋体"/>
          <w:szCs w:val="32"/>
        </w:rPr>
      </w:pPr>
    </w:p>
    <w:p>
      <w:pPr>
        <w:rPr>
          <w:rFonts w:hint="eastAsia" w:ascii="仿宋_GB2312" w:hAnsi="宋体"/>
          <w:szCs w:val="32"/>
        </w:rPr>
      </w:pPr>
    </w:p>
    <w:p>
      <w:pPr>
        <w:ind w:firstLine="640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注：请各单位指派一名同志担任调研工作联络员，负责本单位调研联络工作，参加区政府研究室组织的相关会议、培训、学访、调研活动等。</w:t>
      </w:r>
    </w:p>
    <w:p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6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ahoma" w:hAnsi="Tahoma"/>
      <w:sz w:val="24"/>
      <w:szCs w:val="20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 Char"/>
    <w:basedOn w:val="1"/>
    <w:link w:val="4"/>
    <w:uiPriority w:val="0"/>
    <w:rPr>
      <w:rFonts w:ascii="Tahoma" w:hAnsi="Tahoma"/>
      <w:sz w:val="24"/>
      <w:szCs w:val="20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2018-03-16T03:12:07Z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