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附件1</w:t>
      </w:r>
    </w:p>
    <w:p>
      <w:pPr>
        <w:jc w:val="center"/>
        <w:rPr>
          <w:rFonts w:ascii="Times New Roman" w:hAnsi="Times New Roman" w:eastAsia="文星简小标宋"/>
          <w:sz w:val="44"/>
          <w:szCs w:val="44"/>
        </w:rPr>
      </w:pPr>
      <w:r>
        <w:rPr>
          <w:rFonts w:ascii="Times New Roman" w:hAnsi="Times New Roman" w:eastAsia="文星简小标宋"/>
          <w:sz w:val="44"/>
          <w:szCs w:val="44"/>
        </w:rPr>
        <w:t>防汛应急响应分级标准</w:t>
      </w:r>
    </w:p>
    <w:p>
      <w:pPr>
        <w:ind w:firstLine="632" w:firstLineChars="200"/>
        <w:rPr>
          <w:rFonts w:ascii="Times New Roman" w:hAnsi="Times New Roman"/>
          <w:szCs w:val="32"/>
        </w:rPr>
      </w:pPr>
    </w:p>
    <w:p>
      <w:pPr>
        <w:ind w:firstLine="632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一、出现下列情况之一，启动四级应急响应：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1.我市及上游区域将发生流域性强降雨。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2.一级行洪河道发生一般洪水。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3.当中心城区部分地区降雨量25毫米，后期雨情基本不再发展，中心城区大部分地区不会产生严重积水。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4.其他需要启动四级应急响应的情况。</w:t>
      </w:r>
    </w:p>
    <w:p>
      <w:pPr>
        <w:ind w:firstLine="632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二、出现下列情况之一，启动三级应急响应：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1.一级行洪河道发生较大洪水。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2.一级行洪河道超过警戒水位，且接近保证水位。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3.一级行洪河道堤防发生较大险情。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4.当中心城区部分地区降雨量50毫米以上时，雨势可能持续发展，中心地区低洼地区积水，河道水位正常。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5.其他需要启动三级应急响应的情况。</w:t>
      </w:r>
    </w:p>
    <w:p>
      <w:pPr>
        <w:ind w:firstLine="632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三、出现下列情况之一，启动二级应急响应：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1.一级行洪河道发生大洪水。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2.一级行洪河道水位达到保证水位。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3.一级行洪河道堤防发生重大险情。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4.当中心城区部分地区降雨量达到100毫米时，雨势可能持续发展，海河水位达到2.0MTD，二级河道水位较高影响中心城区二级河道和泵站排水，中心城区普遍积水。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5.其他需要启动二级应急响应的情况。</w:t>
      </w:r>
    </w:p>
    <w:p>
      <w:pPr>
        <w:ind w:firstLine="632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四、出现下列情况之一，启动一级应急响应：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1.预计一级行洪河道将发生特大洪水。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2.一级行洪河道堤防发生决口险情。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3.当中心城区部分地区降雨量达到150毫米时，雨势可能持续发展，海河分泄上游洪水或海河水位已超过2.0MTD，海潮位较高影响河水下泄，将造成中心城区大范围严重积水情况。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4.其他需要启动一级应急响应的情况。</w:t>
      </w:r>
    </w:p>
    <w:p>
      <w:pPr>
        <w:ind w:firstLine="632" w:firstLineChars="200"/>
        <w:rPr>
          <w:rFonts w:ascii="Times New Roman" w:hAnsi="Times New Roman"/>
          <w:szCs w:val="32"/>
        </w:rPr>
      </w:pPr>
    </w:p>
    <w:p>
      <w:pPr>
        <w:rPr>
          <w:rFonts w:ascii="Times New Roman" w:hAnsi="Times New Roman" w:eastAsia="黑体"/>
          <w:szCs w:val="32"/>
        </w:rPr>
      </w:pPr>
      <w:r>
        <w:rPr>
          <w:rFonts w:ascii="Times New Roman" w:hAnsi="Times New Roman"/>
          <w:szCs w:val="32"/>
        </w:rPr>
        <w:br w:type="page"/>
      </w:r>
      <w:r>
        <w:rPr>
          <w:rFonts w:ascii="Times New Roman" w:hAnsi="Times New Roman" w:eastAsia="黑体"/>
          <w:szCs w:val="32"/>
        </w:rPr>
        <w:t>附件2</w:t>
      </w:r>
    </w:p>
    <w:p>
      <w:pPr>
        <w:jc w:val="center"/>
        <w:rPr>
          <w:rFonts w:ascii="Times New Roman" w:hAnsi="Times New Roman" w:eastAsia="文星简小标宋"/>
          <w:sz w:val="44"/>
          <w:szCs w:val="44"/>
        </w:rPr>
      </w:pPr>
      <w:r>
        <w:rPr>
          <w:rFonts w:ascii="Times New Roman" w:hAnsi="Times New Roman" w:eastAsia="文星简小标宋"/>
          <w:sz w:val="44"/>
          <w:szCs w:val="44"/>
        </w:rPr>
        <w:t>河东区防汛保障方案及编制单位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3"/>
        <w:tblW w:w="88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18"/>
        <w:gridCol w:w="241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预案名称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牵头单位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配合部门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防洪抢险保障方案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区住建委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区武装部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城区排水方案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区住建委</w:t>
            </w:r>
          </w:p>
        </w:tc>
        <w:tc>
          <w:tcPr>
            <w:tcW w:w="2460" w:type="dxa"/>
            <w:vAlign w:val="center"/>
          </w:tcPr>
          <w:p>
            <w:pPr>
              <w:ind w:right="-360" w:rightChars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排水四所</w:t>
            </w:r>
          </w:p>
          <w:p>
            <w:pPr>
              <w:ind w:right="-360" w:rightChars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排水八所</w:t>
            </w:r>
          </w:p>
          <w:p>
            <w:pPr>
              <w:ind w:right="-360" w:rightChars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区配套服务中心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防汛物资保障方案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区应急管理局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区发展改革委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区住建委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防汛通信保障方案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区产促局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基础通信运营企业铁塔公司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防汛交通保障方案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交警河东支队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防汛电力保障方案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区产促局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城东供电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其他部门保障方案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区防指成员单位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  <w:szCs w:val="32"/>
        </w:rPr>
      </w:pPr>
    </w:p>
    <w:p>
      <w:pPr>
        <w:rPr>
          <w:rFonts w:ascii="Times New Roman" w:hAnsi="Times New Roman" w:eastAsia="黑体"/>
          <w:szCs w:val="32"/>
        </w:rPr>
      </w:pPr>
      <w:r>
        <w:rPr>
          <w:rFonts w:ascii="Times New Roman" w:hAnsi="Times New Roman"/>
          <w:szCs w:val="32"/>
        </w:rPr>
        <w:br w:type="page"/>
      </w:r>
      <w:r>
        <w:rPr>
          <w:rFonts w:ascii="Times New Roman" w:hAnsi="Times New Roman" w:eastAsia="黑体"/>
          <w:szCs w:val="32"/>
        </w:rPr>
        <w:t>附件3</w:t>
      </w:r>
    </w:p>
    <w:p>
      <w:pPr>
        <w:jc w:val="center"/>
        <w:rPr>
          <w:rFonts w:ascii="Times New Roman" w:hAnsi="Times New Roman" w:eastAsia="文星简小标宋"/>
          <w:sz w:val="44"/>
          <w:szCs w:val="44"/>
        </w:rPr>
      </w:pPr>
      <w:r>
        <w:rPr>
          <w:rFonts w:ascii="Times New Roman" w:hAnsi="Times New Roman" w:eastAsia="文星简小标宋"/>
          <w:sz w:val="44"/>
          <w:szCs w:val="44"/>
        </w:rPr>
        <w:t>名词术语解释</w:t>
      </w:r>
    </w:p>
    <w:p>
      <w:pPr>
        <w:ind w:firstLine="632" w:firstLineChars="200"/>
        <w:rPr>
          <w:rFonts w:ascii="Times New Roman" w:hAnsi="Times New Roman"/>
          <w:szCs w:val="32"/>
        </w:rPr>
      </w:pP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汛期：是一年中降水量最大的时期，容易引起洪涝灾害，是防汛工作的关键期。天津市的汛期是每年6月15日至9月15日。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洪涝灾害：是一种常见的自然灾害，是因大雨、暴雨引起的水过多或过于集中，形成的水道急流、山洪暴发、河水泛滥、淹没农田、毁坏环境与各种设施等灾害现象。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一级行洪河道：天津市河东区地处海河流域下游，流经全区的一级行洪河道共有1条，属市管河道。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二级河道：二级河道是指由市或区投资兴建、市管河道以外与国家主要行洪河道相连接、输排水受益在两个街道以上的骨干河渠。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雨情：各雨量监测点的降雨量、雨强、最大降雨点等信息。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水情：各河道监测点的流量、流速、水位指标等信息。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工情：主要是指水利防洪工程信息,包括水库、闸坝、堤防等水利工程的运行状况和日常监测情况。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险情：堤防、桥梁、房屋损毁、水库及河道管涌以及因洪水导致的人员被困、车辆被泡等情况。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MTD：警戒水位，是指在江、河、湖泊水位上涨到河段内可能发生险情的水位。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文星仿宋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文星简小标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13D65"/>
    <w:rsid w:val="39E13D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2022-11-07T10:11:00Z</dcterms:created>
  <dc:creator>Administrator</dc:creator>
  <cp:lastModifiedBy>Administrator</cp:lastModifiedBy>
  <dcterms:modified xsi:type="dcterms:W3CDTF">2022-11-07T10:13:10Z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