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96" w:rsidRDefault="00AE2896">
      <w:pPr>
        <w:autoSpaceDE w:val="0"/>
        <w:autoSpaceDN w:val="0"/>
        <w:adjustRightInd w:val="0"/>
        <w:jc w:val="center"/>
        <w:rPr>
          <w:rFonts w:ascii="Times New Roman" w:eastAsia="方正小标宋简体" w:hAnsi="Times New Roman" w:cs="方正小标宋简体"/>
          <w:kern w:val="0"/>
          <w:sz w:val="48"/>
          <w:szCs w:val="48"/>
          <w:lang w:val="zh-CN"/>
        </w:rPr>
      </w:pPr>
    </w:p>
    <w:p w:rsidR="00AE2896" w:rsidRDefault="00AE2896">
      <w:pPr>
        <w:autoSpaceDE w:val="0"/>
        <w:autoSpaceDN w:val="0"/>
        <w:adjustRightInd w:val="0"/>
        <w:jc w:val="center"/>
        <w:rPr>
          <w:rFonts w:ascii="Times New Roman" w:eastAsia="方正小标宋简体" w:hAnsi="Times New Roman" w:cs="方正小标宋简体"/>
          <w:kern w:val="0"/>
          <w:sz w:val="48"/>
          <w:szCs w:val="48"/>
          <w:lang w:val="zh-CN"/>
        </w:rPr>
      </w:pPr>
    </w:p>
    <w:p w:rsidR="00AE2896" w:rsidRDefault="00AE2896">
      <w:pPr>
        <w:autoSpaceDE w:val="0"/>
        <w:autoSpaceDN w:val="0"/>
        <w:adjustRightInd w:val="0"/>
        <w:jc w:val="center"/>
        <w:rPr>
          <w:rFonts w:ascii="Times New Roman" w:eastAsia="方正小标宋简体" w:hAnsi="Times New Roman" w:cs="方正小标宋简体"/>
          <w:kern w:val="0"/>
          <w:sz w:val="48"/>
          <w:szCs w:val="48"/>
          <w:lang w:val="zh-CN"/>
        </w:rPr>
      </w:pPr>
    </w:p>
    <w:p w:rsidR="00AE2896" w:rsidRDefault="00AE2896">
      <w:pPr>
        <w:autoSpaceDE w:val="0"/>
        <w:autoSpaceDN w:val="0"/>
        <w:adjustRightInd w:val="0"/>
        <w:jc w:val="center"/>
        <w:rPr>
          <w:rFonts w:ascii="Times New Roman" w:eastAsia="方正小标宋简体" w:hAnsi="Times New Roman" w:cs="方正小标宋简体"/>
          <w:kern w:val="0"/>
          <w:sz w:val="48"/>
          <w:szCs w:val="48"/>
          <w:lang w:val="zh-CN"/>
        </w:rPr>
      </w:pPr>
    </w:p>
    <w:p w:rsidR="00AE2896" w:rsidRDefault="00AE2896">
      <w:pPr>
        <w:autoSpaceDE w:val="0"/>
        <w:autoSpaceDN w:val="0"/>
        <w:adjustRightInd w:val="0"/>
        <w:jc w:val="center"/>
        <w:rPr>
          <w:rFonts w:ascii="Times New Roman" w:eastAsia="方正小标宋简体" w:hAnsi="Times New Roman" w:cs="方正小标宋简体"/>
          <w:kern w:val="0"/>
          <w:sz w:val="48"/>
          <w:szCs w:val="48"/>
          <w:lang w:val="zh-CN"/>
        </w:rPr>
      </w:pPr>
    </w:p>
    <w:p w:rsidR="00AE2896" w:rsidRDefault="00AE2896">
      <w:pPr>
        <w:autoSpaceDE w:val="0"/>
        <w:autoSpaceDN w:val="0"/>
        <w:adjustRightInd w:val="0"/>
        <w:jc w:val="center"/>
        <w:rPr>
          <w:rFonts w:ascii="Times New Roman" w:eastAsia="方正小标宋简体" w:hAnsi="Times New Roman" w:cs="方正小标宋简体"/>
          <w:kern w:val="0"/>
          <w:sz w:val="48"/>
          <w:szCs w:val="48"/>
          <w:lang w:val="zh-CN"/>
        </w:rPr>
      </w:pPr>
    </w:p>
    <w:p w:rsidR="00AE2896" w:rsidRDefault="00AE2896">
      <w:pPr>
        <w:autoSpaceDE w:val="0"/>
        <w:autoSpaceDN w:val="0"/>
        <w:adjustRightInd w:val="0"/>
        <w:jc w:val="center"/>
        <w:rPr>
          <w:rFonts w:ascii="Times New Roman" w:eastAsia="方正小标宋简体" w:hAnsi="Times New Roman" w:cs="方正小标宋简体"/>
          <w:kern w:val="0"/>
          <w:sz w:val="48"/>
          <w:szCs w:val="48"/>
          <w:lang w:val="zh-CN"/>
        </w:rPr>
      </w:pPr>
    </w:p>
    <w:p w:rsidR="00AE2896" w:rsidRDefault="00AE2896">
      <w:pPr>
        <w:autoSpaceDE w:val="0"/>
        <w:autoSpaceDN w:val="0"/>
        <w:adjustRightInd w:val="0"/>
        <w:jc w:val="center"/>
        <w:rPr>
          <w:rFonts w:ascii="Times New Roman" w:eastAsia="方正小标宋简体" w:hAnsi="Times New Roman" w:cs="方正小标宋简体"/>
          <w:kern w:val="0"/>
          <w:sz w:val="48"/>
          <w:szCs w:val="48"/>
          <w:lang w:val="zh-CN"/>
        </w:rPr>
      </w:pPr>
    </w:p>
    <w:p w:rsidR="00AE2896" w:rsidRDefault="00017E4E">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天津市河东区唐家口街道党群服务中心</w:t>
      </w: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AE2896" w:rsidRDefault="00AE2896">
      <w:pPr>
        <w:autoSpaceDE w:val="0"/>
        <w:autoSpaceDN w:val="0"/>
        <w:adjustRightInd w:val="0"/>
        <w:spacing w:line="580" w:lineRule="exact"/>
        <w:jc w:val="center"/>
        <w:rPr>
          <w:rFonts w:ascii="Times New Roman" w:eastAsia="黑体" w:hAnsi="Times New Roman" w:cs="黑体"/>
          <w:sz w:val="30"/>
          <w:szCs w:val="30"/>
        </w:rPr>
      </w:pPr>
    </w:p>
    <w:p w:rsidR="00AE2896" w:rsidRDefault="00AE2896">
      <w:pPr>
        <w:autoSpaceDE w:val="0"/>
        <w:autoSpaceDN w:val="0"/>
        <w:adjustRightInd w:val="0"/>
        <w:spacing w:line="580" w:lineRule="exact"/>
        <w:jc w:val="center"/>
        <w:rPr>
          <w:rFonts w:ascii="Times New Roman" w:eastAsia="黑体" w:hAnsi="Times New Roman" w:cs="黑体"/>
          <w:sz w:val="30"/>
          <w:szCs w:val="30"/>
        </w:rPr>
      </w:pPr>
    </w:p>
    <w:p w:rsidR="00AE2896" w:rsidRDefault="00AE2896">
      <w:pPr>
        <w:autoSpaceDE w:val="0"/>
        <w:autoSpaceDN w:val="0"/>
        <w:adjustRightInd w:val="0"/>
        <w:spacing w:line="580" w:lineRule="exact"/>
        <w:jc w:val="center"/>
        <w:rPr>
          <w:rFonts w:ascii="Times New Roman" w:eastAsia="黑体" w:hAnsi="Times New Roman" w:cs="黑体"/>
          <w:sz w:val="30"/>
          <w:szCs w:val="30"/>
        </w:rPr>
      </w:pPr>
    </w:p>
    <w:p w:rsidR="00AE2896" w:rsidRDefault="00AE2896">
      <w:pPr>
        <w:autoSpaceDE w:val="0"/>
        <w:autoSpaceDN w:val="0"/>
        <w:adjustRightInd w:val="0"/>
        <w:spacing w:line="580" w:lineRule="exact"/>
        <w:jc w:val="center"/>
        <w:rPr>
          <w:rFonts w:ascii="Times New Roman" w:eastAsia="黑体" w:hAnsi="Times New Roman" w:cs="黑体"/>
          <w:sz w:val="30"/>
          <w:szCs w:val="30"/>
        </w:rPr>
      </w:pPr>
    </w:p>
    <w:p w:rsidR="00AE2896" w:rsidRDefault="00AE2896">
      <w:pPr>
        <w:autoSpaceDE w:val="0"/>
        <w:autoSpaceDN w:val="0"/>
        <w:adjustRightInd w:val="0"/>
        <w:spacing w:line="580" w:lineRule="exact"/>
        <w:jc w:val="center"/>
        <w:rPr>
          <w:rFonts w:ascii="Times New Roman" w:eastAsia="黑体" w:hAnsi="Times New Roman" w:cs="黑体"/>
          <w:sz w:val="30"/>
          <w:szCs w:val="30"/>
        </w:rPr>
      </w:pPr>
    </w:p>
    <w:p w:rsidR="00AE2896" w:rsidRDefault="00017E4E">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rsidR="00AE2896" w:rsidRDefault="00017E4E">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rsidR="00AE2896" w:rsidRDefault="00AE2896">
      <w:pPr>
        <w:autoSpaceDE w:val="0"/>
        <w:autoSpaceDN w:val="0"/>
        <w:adjustRightInd w:val="0"/>
        <w:spacing w:line="600" w:lineRule="exact"/>
        <w:jc w:val="left"/>
        <w:rPr>
          <w:rFonts w:ascii="Times New Roman" w:eastAsia="黑体" w:hAnsi="Times New Roman" w:cs="黑体"/>
          <w:kern w:val="0"/>
          <w:sz w:val="30"/>
          <w:szCs w:val="30"/>
        </w:rPr>
      </w:pPr>
    </w:p>
    <w:p w:rsidR="00AE2896" w:rsidRDefault="00017E4E">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proofErr w:type="gramStart"/>
      <w:r>
        <w:rPr>
          <w:rFonts w:ascii="Times New Roman" w:eastAsia="方正小标宋简体" w:hAnsi="Times New Roman" w:cs="方正小标宋简体" w:hint="eastAsia"/>
          <w:kern w:val="0"/>
          <w:sz w:val="30"/>
          <w:szCs w:val="30"/>
        </w:rPr>
        <w:t>况</w:t>
      </w:r>
      <w:proofErr w:type="gramEnd"/>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AE2896" w:rsidRDefault="00017E4E">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rsidR="00AE2896" w:rsidRDefault="00017E4E">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AE2896" w:rsidRDefault="00017E4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AE2896" w:rsidRDefault="00017E4E">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rsidR="00AE2896" w:rsidRDefault="00017E4E">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AE2896" w:rsidRDefault="00017E4E">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proofErr w:type="gramStart"/>
      <w:r>
        <w:rPr>
          <w:rFonts w:ascii="Times New Roman" w:eastAsia="方正小标宋简体" w:hAnsi="Times New Roman" w:cs="方正小标宋简体" w:hint="eastAsia"/>
          <w:kern w:val="44"/>
          <w:sz w:val="44"/>
          <w:szCs w:val="44"/>
        </w:rPr>
        <w:t>况</w:t>
      </w:r>
      <w:proofErr w:type="gramEnd"/>
    </w:p>
    <w:p w:rsidR="00AE2896" w:rsidRDefault="00017E4E">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AE2896" w:rsidRDefault="00017E4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天津市河东区唐家口街道党群服务中心是公益一类事业单位。其主要职责：承担辖区</w:t>
      </w:r>
      <w:proofErr w:type="gramStart"/>
      <w:r>
        <w:rPr>
          <w:rFonts w:ascii="Times New Roman" w:eastAsia="仿宋_GB2312" w:hAnsi="Times New Roman" w:cs="仿宋_GB2312" w:hint="eastAsia"/>
          <w:sz w:val="30"/>
          <w:szCs w:val="30"/>
        </w:rPr>
        <w:t>内基层</w:t>
      </w:r>
      <w:proofErr w:type="gramEnd"/>
      <w:r>
        <w:rPr>
          <w:rFonts w:ascii="Times New Roman" w:eastAsia="仿宋_GB2312" w:hAnsi="Times New Roman" w:cs="仿宋_GB2312" w:hint="eastAsia"/>
          <w:sz w:val="30"/>
          <w:szCs w:val="30"/>
        </w:rPr>
        <w:t>党组织和群团组织日常事务性工作，做好区域化党建的日常组织、协调、联络和服务工作，为地区各类党组织、党员开展活动、接受教育管理提供信息化平台和场地的支持。协助街道整合调配服务资源，协调相关部门开展各类便民服务；为老年人、残疾人和优抚对象提供社会福利服务；组织开展社区文化体育活动；承担政务服务、社会保障、住房保障以及其他直接面向群众和驻区单位提供政务服务受理的事务性、辅助性工作。负责管理和使用党组织工作和活动经费、党组织服务群众经费及失业保险资金、老年人补贴等经费。</w:t>
      </w:r>
    </w:p>
    <w:p w:rsidR="00AE2896" w:rsidRDefault="00017E4E">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AE2896" w:rsidRDefault="00017E4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天津市河东区唐家口街道党群服务中心内设</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个职能</w:t>
      </w:r>
      <w:r w:rsidR="00FF13B7">
        <w:rPr>
          <w:rFonts w:ascii="Times New Roman" w:eastAsia="仿宋_GB2312" w:hAnsi="Times New Roman" w:cs="仿宋_GB2312" w:hint="eastAsia"/>
          <w:sz w:val="30"/>
          <w:szCs w:val="30"/>
        </w:rPr>
        <w:t>科室</w:t>
      </w:r>
      <w:r>
        <w:rPr>
          <w:rFonts w:ascii="Times New Roman" w:eastAsia="仿宋_GB2312" w:hAnsi="Times New Roman" w:cs="仿宋_GB2312" w:hint="eastAsia"/>
          <w:sz w:val="30"/>
          <w:szCs w:val="30"/>
        </w:rPr>
        <w:t>；下辖</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个预算单位。纳入天津市河东区唐家口街道党群服务中心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年度部门决算编制范围的单位包括：</w:t>
      </w:r>
    </w:p>
    <w:p w:rsidR="00AE2896" w:rsidRDefault="00017E4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天津市河东区唐家口街道党群服务中心</w:t>
      </w:r>
    </w:p>
    <w:p w:rsidR="00AE2896" w:rsidRDefault="00017E4E">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AE2896" w:rsidRDefault="00017E4E">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年度部门决算表</w:t>
      </w:r>
    </w:p>
    <w:p w:rsidR="00AE2896" w:rsidRDefault="00AE2896">
      <w:pPr>
        <w:autoSpaceDE w:val="0"/>
        <w:autoSpaceDN w:val="0"/>
        <w:adjustRightInd w:val="0"/>
        <w:spacing w:line="600" w:lineRule="exact"/>
        <w:jc w:val="left"/>
        <w:rPr>
          <w:rFonts w:ascii="Times New Roman" w:eastAsia="方正小标宋简体" w:hAnsi="Times New Roman" w:cs="Times New Roman"/>
          <w:kern w:val="0"/>
          <w:sz w:val="24"/>
          <w:szCs w:val="24"/>
        </w:rPr>
      </w:pP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AE2896" w:rsidRDefault="00017E4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AE2896" w:rsidRDefault="00017E4E">
      <w:pPr>
        <w:autoSpaceDE w:val="0"/>
        <w:autoSpaceDN w:val="0"/>
        <w:adjustRightInd w:val="0"/>
        <w:spacing w:line="800" w:lineRule="exact"/>
        <w:jc w:val="lef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rsidR="00AE2896" w:rsidRDefault="00017E4E">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AE2896" w:rsidRDefault="00017E4E">
      <w:pPr>
        <w:autoSpaceDE w:val="0"/>
        <w:autoSpaceDN w:val="0"/>
        <w:adjustRightInd w:val="0"/>
        <w:spacing w:line="600" w:lineRule="exact"/>
        <w:ind w:firstLine="601"/>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年度政府性基金预算财政拨款收入支出决算表为空表，天津市河东区唐家口街道党群服务中心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年度国有资本经营预算财政拨款收入支出决算表为空表，天津市河东区唐家口街道党群服务中心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年度财政拨款“三公”经费支出决算表为空表。</w:t>
      </w:r>
    </w:p>
    <w:p w:rsidR="00AE2896" w:rsidRDefault="00AE2896">
      <w:pPr>
        <w:autoSpaceDE w:val="0"/>
        <w:autoSpaceDN w:val="0"/>
        <w:adjustRightInd w:val="0"/>
        <w:spacing w:line="600" w:lineRule="exact"/>
        <w:ind w:firstLine="601"/>
        <w:jc w:val="left"/>
        <w:rPr>
          <w:rFonts w:ascii="Times New Roman" w:eastAsia="仿宋_GB2312" w:hAnsi="Times New Roman" w:cs="仿宋_GB2312"/>
          <w:sz w:val="30"/>
          <w:szCs w:val="30"/>
        </w:rPr>
      </w:pPr>
    </w:p>
    <w:p w:rsidR="00AE2896" w:rsidRDefault="00017E4E">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年度部门决算情况说明</w:t>
      </w:r>
    </w:p>
    <w:p w:rsidR="00AE2896" w:rsidRDefault="00AE2896">
      <w:pPr>
        <w:autoSpaceDE w:val="0"/>
        <w:autoSpaceDN w:val="0"/>
        <w:adjustRightInd w:val="0"/>
        <w:spacing w:line="580" w:lineRule="exact"/>
        <w:ind w:firstLine="600"/>
        <w:jc w:val="left"/>
        <w:rPr>
          <w:rFonts w:ascii="Times New Roman" w:eastAsia="黑体" w:hAnsi="Times New Roman" w:cs="黑体"/>
          <w:sz w:val="30"/>
          <w:szCs w:val="30"/>
          <w:lang w:val="zh-CN"/>
        </w:rPr>
      </w:pP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AE2896" w:rsidRDefault="00017E4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天津市河东区唐家口街道党群服务中心</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年度收入、支出决算总计</w:t>
      </w:r>
      <w:r>
        <w:rPr>
          <w:rFonts w:ascii="Times New Roman" w:eastAsia="仿宋_GB2312" w:hAnsi="Times New Roman" w:cs="仿宋_GB2312" w:hint="eastAsia"/>
          <w:sz w:val="30"/>
          <w:szCs w:val="30"/>
        </w:rPr>
        <w:t>2,186,787.19</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年度相比，收、支总计各增加</w:t>
      </w:r>
      <w:r>
        <w:rPr>
          <w:rFonts w:ascii="Times New Roman" w:eastAsia="仿宋_GB2312" w:hAnsi="Times New Roman" w:cs="仿宋_GB2312" w:hint="eastAsia"/>
          <w:sz w:val="30"/>
          <w:szCs w:val="30"/>
        </w:rPr>
        <w:t>374,135.24</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20.64%</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：新入职人员</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名，增加了人员经费和公用经费</w:t>
      </w:r>
      <w:r w:rsidR="00EE5542">
        <w:rPr>
          <w:rFonts w:ascii="Times New Roman" w:eastAsia="仿宋_GB2312" w:hAnsi="Times New Roman" w:cs="仿宋_GB2312" w:hint="eastAsia"/>
          <w:sz w:val="30"/>
          <w:szCs w:val="30"/>
        </w:rPr>
        <w:t>。</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2,185,177.19</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372,525.24</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：新入职人员</w:t>
      </w:r>
      <w:r>
        <w:rPr>
          <w:rFonts w:ascii="Times New Roman" w:eastAsia="仿宋_GB2312" w:hAnsi="Times New Roman" w:cs="仿宋_GB2312" w:hint="eastAsia"/>
          <w:kern w:val="0"/>
          <w:sz w:val="30"/>
          <w:szCs w:val="30"/>
        </w:rPr>
        <w:t>1</w:t>
      </w:r>
      <w:r>
        <w:rPr>
          <w:rFonts w:ascii="Times New Roman" w:eastAsia="仿宋_GB2312" w:hAnsi="Times New Roman" w:cs="仿宋_GB2312" w:hint="eastAsia"/>
          <w:kern w:val="0"/>
          <w:sz w:val="30"/>
          <w:szCs w:val="30"/>
        </w:rPr>
        <w:t>名，增加了人员经费和公用经费</w:t>
      </w:r>
      <w:r w:rsidR="00EE5542">
        <w:rPr>
          <w:rFonts w:ascii="Times New Roman" w:eastAsia="仿宋_GB2312" w:hAnsi="Times New Roman" w:cs="仿宋_GB2312" w:hint="eastAsia"/>
          <w:kern w:val="0"/>
          <w:sz w:val="30"/>
          <w:szCs w:val="30"/>
        </w:rPr>
        <w:t>。</w:t>
      </w:r>
    </w:p>
    <w:p w:rsidR="00AE2896" w:rsidRDefault="00017E4E">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2,123,897.19</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97.2</w:t>
      </w:r>
      <w:r w:rsidR="00FF13B7">
        <w:rPr>
          <w:rFonts w:ascii="Times New Roman" w:eastAsia="仿宋_GB2312" w:hAnsi="Times New Roman" w:cs="Times New Roman" w:hint="eastAsia"/>
          <w:sz w:val="30"/>
          <w:szCs w:val="30"/>
        </w:rPr>
        <w:t>0</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AE2896" w:rsidRDefault="00017E4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lang w:val="zh-CN"/>
        </w:rPr>
        <w:t>其他收入</w:t>
      </w:r>
      <w:r>
        <w:rPr>
          <w:rFonts w:ascii="Times New Roman" w:eastAsia="仿宋_GB2312" w:hAnsi="Times New Roman" w:cs="仿宋_GB2312" w:hint="eastAsia"/>
          <w:sz w:val="30"/>
          <w:szCs w:val="30"/>
          <w:lang w:val="zh-CN"/>
        </w:rPr>
        <w:t>61,280.00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2.8</w:t>
      </w:r>
      <w:r w:rsidR="00FF13B7">
        <w:rPr>
          <w:rFonts w:ascii="Times New Roman" w:eastAsia="仿宋_GB2312" w:hAnsi="Times New Roman" w:cs="仿宋_GB2312" w:hint="eastAsia"/>
          <w:sz w:val="30"/>
          <w:szCs w:val="30"/>
          <w:lang w:val="zh-CN"/>
        </w:rPr>
        <w:t>0</w:t>
      </w:r>
      <w:r>
        <w:rPr>
          <w:rFonts w:ascii="Times New Roman" w:eastAsia="仿宋_GB2312" w:hAnsi="Times New Roman" w:cs="仿宋_GB2312" w:hint="eastAsia"/>
          <w:sz w:val="30"/>
          <w:szCs w:val="30"/>
          <w:lang w:val="zh-CN"/>
        </w:rPr>
        <w:t>%</w:t>
      </w:r>
      <w:r>
        <w:rPr>
          <w:rFonts w:ascii="Times New Roman" w:eastAsia="仿宋_GB2312" w:hAnsi="Times New Roman" w:cs="仿宋_GB2312" w:hint="eastAsia"/>
          <w:sz w:val="30"/>
          <w:szCs w:val="30"/>
          <w:lang w:val="zh-CN"/>
        </w:rPr>
        <w:t>。</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lastRenderedPageBreak/>
        <w:t>三、支出</w:t>
      </w:r>
      <w:r>
        <w:rPr>
          <w:rFonts w:ascii="Times New Roman" w:eastAsia="黑体" w:hAnsi="Times New Roman" w:cs="黑体" w:hint="eastAsia"/>
          <w:b/>
          <w:bCs/>
          <w:kern w:val="0"/>
          <w:sz w:val="30"/>
          <w:szCs w:val="30"/>
        </w:rPr>
        <w:t>决算情况说明</w:t>
      </w:r>
    </w:p>
    <w:p w:rsidR="00AE2896" w:rsidRDefault="00017E4E">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2,184,014.04</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372,981.56</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新入职人员</w:t>
      </w:r>
      <w:r>
        <w:rPr>
          <w:rFonts w:ascii="Times New Roman" w:eastAsia="仿宋_GB2312" w:hAnsi="Times New Roman" w:cs="仿宋_GB2312" w:hint="eastAsia"/>
          <w:kern w:val="0"/>
          <w:sz w:val="30"/>
          <w:szCs w:val="30"/>
        </w:rPr>
        <w:t>1</w:t>
      </w:r>
      <w:r>
        <w:rPr>
          <w:rFonts w:ascii="Times New Roman" w:eastAsia="仿宋_GB2312" w:hAnsi="Times New Roman" w:cs="仿宋_GB2312" w:hint="eastAsia"/>
          <w:kern w:val="0"/>
          <w:sz w:val="30"/>
          <w:szCs w:val="30"/>
        </w:rPr>
        <w:t>名，增加了人员经费和公用经费</w:t>
      </w:r>
      <w:r w:rsidR="00EE5542">
        <w:rPr>
          <w:rFonts w:ascii="Times New Roman" w:eastAsia="仿宋_GB2312" w:hAnsi="Times New Roman" w:cs="仿宋_GB2312" w:hint="eastAsia"/>
          <w:kern w:val="0"/>
          <w:sz w:val="30"/>
          <w:szCs w:val="30"/>
        </w:rPr>
        <w:t>。</w:t>
      </w:r>
    </w:p>
    <w:p w:rsidR="00AE2896" w:rsidRDefault="00017E4E">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2,184,014.04</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100.0</w:t>
      </w:r>
      <w:r w:rsidR="00FF13B7">
        <w:rPr>
          <w:rFonts w:ascii="Times New Roman" w:eastAsia="仿宋_GB2312" w:hAnsi="Times New Roman" w:cs="仿宋_GB2312" w:hint="eastAsia"/>
          <w:sz w:val="30"/>
          <w:szCs w:val="30"/>
        </w:rPr>
        <w:t>0</w:t>
      </w:r>
      <w:r>
        <w:rPr>
          <w:rFonts w:ascii="Times New Roman" w:eastAsia="仿宋_GB2312" w:hAnsi="Times New Roman" w:cs="仿宋_GB2312" w:hint="eastAsia"/>
          <w:sz w:val="30"/>
          <w:szCs w:val="30"/>
        </w:rPr>
        <w:t>%</w:t>
      </w:r>
      <w:r w:rsidR="00FF13B7">
        <w:rPr>
          <w:rFonts w:ascii="Times New Roman" w:eastAsia="仿宋_GB2312" w:hAnsi="Times New Roman" w:cs="仿宋_GB2312" w:hint="eastAsia"/>
          <w:sz w:val="30"/>
          <w:szCs w:val="30"/>
        </w:rPr>
        <w:t>。</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rsidR="00AE2896" w:rsidRDefault="00017E4E">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2,123,897.19</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年度相比，财政拨款收、支总计各增加</w:t>
      </w:r>
      <w:r>
        <w:rPr>
          <w:rFonts w:ascii="Times New Roman" w:eastAsia="仿宋_GB2312" w:hAnsi="Times New Roman" w:cs="仿宋_GB2312" w:hint="eastAsia"/>
          <w:sz w:val="30"/>
          <w:szCs w:val="30"/>
        </w:rPr>
        <w:t>312,855.24</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17.27</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新入职人员</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名，增加了人员经费和公用经费</w:t>
      </w:r>
      <w:r w:rsidR="00EE5542">
        <w:rPr>
          <w:rFonts w:ascii="Times New Roman" w:eastAsia="仿宋_GB2312" w:hAnsi="Times New Roman" w:cs="仿宋_GB2312" w:hint="eastAsia"/>
          <w:sz w:val="30"/>
          <w:szCs w:val="30"/>
        </w:rPr>
        <w:t>。</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五、一般公共预算财政拨款支出决算情况说明</w:t>
      </w:r>
    </w:p>
    <w:p w:rsidR="00AE2896" w:rsidRDefault="00017E4E">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AE2896" w:rsidRDefault="00017E4E">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2,122,734.04</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97.19%</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年度相比，一般公共预算财政拨款支出增加</w:t>
      </w:r>
      <w:r>
        <w:rPr>
          <w:rFonts w:ascii="Times New Roman" w:eastAsia="仿宋_GB2312" w:hAnsi="Times New Roman" w:cs="仿宋_GB2312" w:hint="eastAsia"/>
          <w:sz w:val="30"/>
          <w:szCs w:val="30"/>
        </w:rPr>
        <w:t>311,701.56</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17.21%</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：新入职人员</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名，增加了人员经费和公用经费</w:t>
      </w:r>
      <w:r w:rsidR="00EE5542">
        <w:rPr>
          <w:rFonts w:ascii="Times New Roman" w:eastAsia="仿宋_GB2312" w:hAnsi="Times New Roman" w:cs="仿宋_GB2312" w:hint="eastAsia"/>
          <w:sz w:val="30"/>
          <w:szCs w:val="30"/>
        </w:rPr>
        <w:t>。</w:t>
      </w:r>
    </w:p>
    <w:p w:rsidR="00AE2896" w:rsidRDefault="00017E4E">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AE2896" w:rsidRDefault="00017E4E">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2,122,734.04</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r>
        <w:rPr>
          <w:rFonts w:ascii="Times New Roman" w:eastAsia="仿宋_GB2312" w:hAnsi="Times New Roman" w:cs="仿宋_GB2312" w:hint="eastAsia"/>
          <w:sz w:val="30"/>
          <w:szCs w:val="30"/>
        </w:rPr>
        <w:t>一般公共服务支出（类）支出</w:t>
      </w:r>
      <w:r>
        <w:rPr>
          <w:rFonts w:ascii="Times New Roman" w:eastAsia="仿宋_GB2312" w:hAnsi="Times New Roman" w:cs="仿宋_GB2312" w:hint="eastAsia"/>
          <w:sz w:val="30"/>
          <w:szCs w:val="30"/>
        </w:rPr>
        <w:t>1</w:t>
      </w:r>
      <w:r w:rsidR="00BE2718">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808</w:t>
      </w:r>
      <w:r w:rsidR="00BE2718">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920.5</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85.22%</w:t>
      </w:r>
      <w:r>
        <w:rPr>
          <w:rFonts w:ascii="Times New Roman" w:eastAsia="仿宋_GB2312" w:hAnsi="Times New Roman" w:cs="仿宋_GB2312" w:hint="eastAsia"/>
          <w:sz w:val="30"/>
          <w:szCs w:val="30"/>
        </w:rPr>
        <w:t>；社会保障和就业支出（类）支出</w:t>
      </w:r>
      <w:r>
        <w:rPr>
          <w:rFonts w:ascii="Times New Roman" w:eastAsia="仿宋_GB2312" w:hAnsi="Times New Roman" w:cs="仿宋_GB2312" w:hint="eastAsia"/>
          <w:sz w:val="30"/>
          <w:szCs w:val="30"/>
        </w:rPr>
        <w:t>222</w:t>
      </w:r>
      <w:r w:rsidR="00BE2718">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039.36</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10.46%</w:t>
      </w:r>
      <w:r>
        <w:rPr>
          <w:rFonts w:ascii="Times New Roman" w:eastAsia="仿宋_GB2312" w:hAnsi="Times New Roman" w:cs="仿宋_GB2312" w:hint="eastAsia"/>
          <w:sz w:val="30"/>
          <w:szCs w:val="30"/>
        </w:rPr>
        <w:t>；卫生健</w:t>
      </w:r>
      <w:r>
        <w:rPr>
          <w:rFonts w:ascii="Times New Roman" w:eastAsia="仿宋_GB2312" w:hAnsi="Times New Roman" w:cs="仿宋_GB2312" w:hint="eastAsia"/>
          <w:sz w:val="30"/>
          <w:szCs w:val="30"/>
        </w:rPr>
        <w:lastRenderedPageBreak/>
        <w:t>康支出（类）支出</w:t>
      </w:r>
      <w:r>
        <w:rPr>
          <w:rFonts w:ascii="Times New Roman" w:eastAsia="仿宋_GB2312" w:hAnsi="Times New Roman" w:cs="仿宋_GB2312" w:hint="eastAsia"/>
          <w:sz w:val="30"/>
          <w:szCs w:val="30"/>
        </w:rPr>
        <w:t>91</w:t>
      </w:r>
      <w:r w:rsidR="00BE2718">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774.18</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4.32%</w:t>
      </w:r>
      <w:r w:rsidR="00EE5542">
        <w:rPr>
          <w:rFonts w:ascii="Times New Roman" w:eastAsia="仿宋_GB2312" w:hAnsi="Times New Roman" w:cs="仿宋_GB2312" w:hint="eastAsia"/>
          <w:sz w:val="30"/>
          <w:szCs w:val="30"/>
        </w:rPr>
        <w:t>。</w:t>
      </w:r>
    </w:p>
    <w:p w:rsidR="00AE2896" w:rsidRDefault="00017E4E">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1,888,596.84</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2,122,734.04</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112.4</w:t>
      </w:r>
      <w:r w:rsidR="00FF13B7">
        <w:rPr>
          <w:rFonts w:ascii="Times New Roman" w:eastAsia="仿宋_GB2312" w:hAnsi="Times New Roman" w:cs="Times New Roman" w:hint="eastAsia"/>
          <w:sz w:val="30"/>
          <w:szCs w:val="30"/>
        </w:rPr>
        <w:t>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。其中：</w:t>
      </w:r>
    </w:p>
    <w:p w:rsidR="00FF13B7" w:rsidRDefault="00237ACD">
      <w:pPr>
        <w:autoSpaceDE w:val="0"/>
        <w:autoSpaceDN w:val="0"/>
        <w:adjustRightInd w:val="0"/>
        <w:spacing w:line="600" w:lineRule="exact"/>
        <w:ind w:firstLine="720"/>
        <w:jc w:val="left"/>
        <w:rPr>
          <w:rFonts w:ascii="Times New Roman" w:eastAsia="仿宋_GB2312" w:hAnsi="Times New Roman" w:cs="仿宋_GB2312" w:hint="eastAsia"/>
          <w:sz w:val="30"/>
          <w:szCs w:val="30"/>
        </w:rPr>
      </w:pPr>
      <w:r>
        <w:rPr>
          <w:rFonts w:ascii="Times New Roman" w:eastAsia="仿宋_GB2312" w:hAnsi="Times New Roman" w:cs="仿宋_GB2312" w:hint="eastAsia"/>
          <w:sz w:val="30"/>
          <w:szCs w:val="30"/>
        </w:rPr>
        <w:t>1.</w:t>
      </w:r>
      <w:r w:rsidR="00017E4E">
        <w:rPr>
          <w:rFonts w:ascii="Times New Roman" w:eastAsia="仿宋_GB2312" w:hAnsi="Times New Roman" w:cs="仿宋_GB2312" w:hint="eastAsia"/>
          <w:sz w:val="30"/>
          <w:szCs w:val="30"/>
        </w:rPr>
        <w:t>一般公共服务支出（类）其他共产党事务支出（款）事业运行（项）年初预算为</w:t>
      </w:r>
      <w:r w:rsidR="00017E4E">
        <w:rPr>
          <w:rFonts w:ascii="Times New Roman" w:eastAsia="仿宋_GB2312" w:hAnsi="Times New Roman" w:cs="仿宋_GB2312" w:hint="eastAsia"/>
          <w:sz w:val="30"/>
          <w:szCs w:val="30"/>
        </w:rPr>
        <w:t>1</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606</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929.96</w:t>
      </w:r>
      <w:r w:rsidR="00017E4E">
        <w:rPr>
          <w:rFonts w:ascii="Times New Roman" w:eastAsia="仿宋_GB2312" w:hAnsi="Times New Roman" w:cs="仿宋_GB2312" w:hint="eastAsia"/>
          <w:sz w:val="30"/>
          <w:szCs w:val="30"/>
        </w:rPr>
        <w:t>元，支出决算为</w:t>
      </w:r>
      <w:r w:rsidR="00017E4E">
        <w:rPr>
          <w:rFonts w:ascii="Times New Roman" w:eastAsia="仿宋_GB2312" w:hAnsi="Times New Roman" w:cs="仿宋_GB2312" w:hint="eastAsia"/>
          <w:sz w:val="30"/>
          <w:szCs w:val="30"/>
        </w:rPr>
        <w:t>1</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808</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920.5</w:t>
      </w:r>
      <w:r w:rsidR="00FF13B7">
        <w:rPr>
          <w:rFonts w:ascii="Times New Roman" w:eastAsia="仿宋_GB2312" w:hAnsi="Times New Roman" w:cs="仿宋_GB2312" w:hint="eastAsia"/>
          <w:sz w:val="30"/>
          <w:szCs w:val="30"/>
        </w:rPr>
        <w:t>0</w:t>
      </w:r>
      <w:r w:rsidR="00017E4E">
        <w:rPr>
          <w:rFonts w:ascii="Times New Roman" w:eastAsia="仿宋_GB2312" w:hAnsi="Times New Roman" w:cs="仿宋_GB2312" w:hint="eastAsia"/>
          <w:sz w:val="30"/>
          <w:szCs w:val="30"/>
        </w:rPr>
        <w:t>元，完成年初预算的</w:t>
      </w:r>
      <w:r w:rsidR="00017E4E">
        <w:rPr>
          <w:rFonts w:ascii="Times New Roman" w:eastAsia="仿宋_GB2312" w:hAnsi="Times New Roman" w:cs="仿宋_GB2312" w:hint="eastAsia"/>
          <w:sz w:val="30"/>
          <w:szCs w:val="30"/>
        </w:rPr>
        <w:t xml:space="preserve"> </w:t>
      </w:r>
      <w:r w:rsidRPr="00237ACD">
        <w:rPr>
          <w:rFonts w:ascii="Times New Roman" w:eastAsia="仿宋_GB2312" w:hAnsi="Times New Roman" w:cs="仿宋_GB2312"/>
          <w:sz w:val="30"/>
          <w:szCs w:val="30"/>
        </w:rPr>
        <w:t>112.57</w:t>
      </w:r>
      <w:r w:rsidR="00017E4E">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，决算数大于年初预算数的主要原因新入职人员</w:t>
      </w:r>
      <w:r w:rsidR="00017E4E">
        <w:rPr>
          <w:rFonts w:ascii="Times New Roman" w:eastAsia="仿宋_GB2312" w:hAnsi="Times New Roman" w:cs="仿宋_GB2312" w:hint="eastAsia"/>
          <w:sz w:val="30"/>
          <w:szCs w:val="30"/>
        </w:rPr>
        <w:t>1</w:t>
      </w:r>
      <w:r w:rsidR="00017E4E">
        <w:rPr>
          <w:rFonts w:ascii="Times New Roman" w:eastAsia="仿宋_GB2312" w:hAnsi="Times New Roman" w:cs="仿宋_GB2312" w:hint="eastAsia"/>
          <w:sz w:val="30"/>
          <w:szCs w:val="30"/>
        </w:rPr>
        <w:t>名，增加了人员经费和公用经费。</w:t>
      </w:r>
    </w:p>
    <w:p w:rsidR="00FF13B7" w:rsidRDefault="00237ACD">
      <w:pPr>
        <w:autoSpaceDE w:val="0"/>
        <w:autoSpaceDN w:val="0"/>
        <w:adjustRightInd w:val="0"/>
        <w:spacing w:line="600" w:lineRule="exact"/>
        <w:ind w:firstLine="720"/>
        <w:jc w:val="left"/>
        <w:rPr>
          <w:rFonts w:ascii="Times New Roman" w:eastAsia="仿宋_GB2312" w:hAnsi="Times New Roman" w:cs="仿宋_GB2312" w:hint="eastAsia"/>
          <w:sz w:val="30"/>
          <w:szCs w:val="30"/>
        </w:rPr>
      </w:pPr>
      <w:r>
        <w:rPr>
          <w:rFonts w:ascii="Times New Roman" w:eastAsia="仿宋_GB2312" w:hAnsi="Times New Roman" w:cs="仿宋_GB2312" w:hint="eastAsia"/>
          <w:sz w:val="30"/>
          <w:szCs w:val="30"/>
        </w:rPr>
        <w:t>2.</w:t>
      </w:r>
      <w:r w:rsidR="00017E4E">
        <w:rPr>
          <w:rFonts w:ascii="Times New Roman" w:eastAsia="仿宋_GB2312" w:hAnsi="Times New Roman" w:cs="仿宋_GB2312" w:hint="eastAsia"/>
          <w:sz w:val="30"/>
          <w:szCs w:val="30"/>
        </w:rPr>
        <w:t>社会保障和就业支出（类）行政事业单位养老支出（款）机关事业单位基本养老保险缴费支出（项）年初预算为</w:t>
      </w:r>
      <w:r w:rsidR="00017E4E">
        <w:rPr>
          <w:rFonts w:ascii="Times New Roman" w:eastAsia="仿宋_GB2312" w:hAnsi="Times New Roman" w:cs="仿宋_GB2312" w:hint="eastAsia"/>
          <w:sz w:val="30"/>
          <w:szCs w:val="30"/>
        </w:rPr>
        <w:t>132</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549.12</w:t>
      </w:r>
      <w:r w:rsidR="00017E4E">
        <w:rPr>
          <w:rFonts w:ascii="Times New Roman" w:eastAsia="仿宋_GB2312" w:hAnsi="Times New Roman" w:cs="仿宋_GB2312" w:hint="eastAsia"/>
          <w:sz w:val="30"/>
          <w:szCs w:val="30"/>
        </w:rPr>
        <w:t>元，支出决算为</w:t>
      </w:r>
      <w:r w:rsidR="00017E4E">
        <w:rPr>
          <w:rFonts w:ascii="Times New Roman" w:eastAsia="仿宋_GB2312" w:hAnsi="Times New Roman" w:cs="仿宋_GB2312" w:hint="eastAsia"/>
          <w:sz w:val="30"/>
          <w:szCs w:val="30"/>
        </w:rPr>
        <w:t>148</w:t>
      </w:r>
      <w:r w:rsidR="00FF13B7">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026.24</w:t>
      </w:r>
      <w:r w:rsidR="00017E4E">
        <w:rPr>
          <w:rFonts w:ascii="Times New Roman" w:eastAsia="仿宋_GB2312" w:hAnsi="Times New Roman" w:cs="仿宋_GB2312" w:hint="eastAsia"/>
          <w:sz w:val="30"/>
          <w:szCs w:val="30"/>
        </w:rPr>
        <w:t>元，完成年初预算的</w:t>
      </w:r>
      <w:r w:rsidR="00017E4E">
        <w:rPr>
          <w:rFonts w:ascii="Times New Roman" w:eastAsia="仿宋_GB2312" w:hAnsi="Times New Roman" w:cs="仿宋_GB2312" w:hint="eastAsia"/>
          <w:sz w:val="30"/>
          <w:szCs w:val="30"/>
        </w:rPr>
        <w:t xml:space="preserve"> </w:t>
      </w:r>
      <w:r w:rsidRPr="00237ACD">
        <w:rPr>
          <w:rFonts w:ascii="Times New Roman" w:eastAsia="仿宋_GB2312" w:hAnsi="Times New Roman" w:cs="仿宋_GB2312"/>
          <w:sz w:val="30"/>
          <w:szCs w:val="30"/>
        </w:rPr>
        <w:t>111.68</w:t>
      </w:r>
      <w:r w:rsidR="00017E4E">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，决算数大于年初预算数的主要原因新入职人员</w:t>
      </w:r>
      <w:r w:rsidR="00017E4E">
        <w:rPr>
          <w:rFonts w:ascii="Times New Roman" w:eastAsia="仿宋_GB2312" w:hAnsi="Times New Roman" w:cs="仿宋_GB2312" w:hint="eastAsia"/>
          <w:sz w:val="30"/>
          <w:szCs w:val="30"/>
        </w:rPr>
        <w:t>1</w:t>
      </w:r>
      <w:r w:rsidR="00017E4E">
        <w:rPr>
          <w:rFonts w:ascii="Times New Roman" w:eastAsia="仿宋_GB2312" w:hAnsi="Times New Roman" w:cs="仿宋_GB2312" w:hint="eastAsia"/>
          <w:sz w:val="30"/>
          <w:szCs w:val="30"/>
        </w:rPr>
        <w:t>名，增加了人员经费和公用经费。</w:t>
      </w:r>
    </w:p>
    <w:p w:rsidR="00FF13B7" w:rsidRDefault="00237ACD">
      <w:pPr>
        <w:autoSpaceDE w:val="0"/>
        <w:autoSpaceDN w:val="0"/>
        <w:adjustRightInd w:val="0"/>
        <w:spacing w:line="600" w:lineRule="exact"/>
        <w:ind w:firstLine="720"/>
        <w:jc w:val="left"/>
        <w:rPr>
          <w:rFonts w:ascii="Times New Roman" w:eastAsia="仿宋_GB2312" w:hAnsi="Times New Roman" w:cs="仿宋_GB2312" w:hint="eastAsia"/>
          <w:sz w:val="30"/>
          <w:szCs w:val="30"/>
        </w:rPr>
      </w:pPr>
      <w:r>
        <w:rPr>
          <w:rFonts w:ascii="Times New Roman" w:eastAsia="仿宋_GB2312" w:hAnsi="Times New Roman" w:cs="仿宋_GB2312" w:hint="eastAsia"/>
          <w:sz w:val="30"/>
          <w:szCs w:val="30"/>
        </w:rPr>
        <w:t>3.</w:t>
      </w:r>
      <w:r w:rsidR="00017E4E">
        <w:rPr>
          <w:rFonts w:ascii="Times New Roman" w:eastAsia="仿宋_GB2312" w:hAnsi="Times New Roman" w:cs="仿宋_GB2312" w:hint="eastAsia"/>
          <w:sz w:val="30"/>
          <w:szCs w:val="30"/>
        </w:rPr>
        <w:t>社会保障和就业支出（类）行政事业单位养老支出（款）机关事业单位职业年金缴费支出（项）年初预算为</w:t>
      </w:r>
      <w:r w:rsidR="00017E4E">
        <w:rPr>
          <w:rFonts w:ascii="Times New Roman" w:eastAsia="仿宋_GB2312" w:hAnsi="Times New Roman" w:cs="仿宋_GB2312" w:hint="eastAsia"/>
          <w:sz w:val="30"/>
          <w:szCs w:val="30"/>
        </w:rPr>
        <w:t>66</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274.56</w:t>
      </w:r>
      <w:r w:rsidR="00017E4E">
        <w:rPr>
          <w:rFonts w:ascii="Times New Roman" w:eastAsia="仿宋_GB2312" w:hAnsi="Times New Roman" w:cs="仿宋_GB2312" w:hint="eastAsia"/>
          <w:sz w:val="30"/>
          <w:szCs w:val="30"/>
        </w:rPr>
        <w:t>元，支出决算为</w:t>
      </w:r>
      <w:r w:rsidR="00017E4E">
        <w:rPr>
          <w:rFonts w:ascii="Times New Roman" w:eastAsia="仿宋_GB2312" w:hAnsi="Times New Roman" w:cs="仿宋_GB2312" w:hint="eastAsia"/>
          <w:sz w:val="30"/>
          <w:szCs w:val="30"/>
        </w:rPr>
        <w:t>74</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 xml:space="preserve">013.12 </w:t>
      </w:r>
      <w:r w:rsidR="00017E4E">
        <w:rPr>
          <w:rFonts w:ascii="Times New Roman" w:eastAsia="仿宋_GB2312" w:hAnsi="Times New Roman" w:cs="仿宋_GB2312" w:hint="eastAsia"/>
          <w:sz w:val="30"/>
          <w:szCs w:val="30"/>
        </w:rPr>
        <w:t>元，完成年初预算的</w:t>
      </w:r>
      <w:r w:rsidR="00017E4E">
        <w:rPr>
          <w:rFonts w:ascii="Times New Roman" w:eastAsia="仿宋_GB2312" w:hAnsi="Times New Roman" w:cs="仿宋_GB2312" w:hint="eastAsia"/>
          <w:sz w:val="30"/>
          <w:szCs w:val="30"/>
        </w:rPr>
        <w:t xml:space="preserve"> </w:t>
      </w:r>
      <w:r w:rsidRPr="00237ACD">
        <w:rPr>
          <w:rFonts w:ascii="Times New Roman" w:eastAsia="仿宋_GB2312" w:hAnsi="Times New Roman" w:cs="仿宋_GB2312"/>
          <w:sz w:val="30"/>
          <w:szCs w:val="30"/>
        </w:rPr>
        <w:t>111.68</w:t>
      </w:r>
      <w:r w:rsidR="00017E4E">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，决算数大于年初预算数的主要原因新入职人员</w:t>
      </w:r>
      <w:r w:rsidR="00017E4E">
        <w:rPr>
          <w:rFonts w:ascii="Times New Roman" w:eastAsia="仿宋_GB2312" w:hAnsi="Times New Roman" w:cs="仿宋_GB2312" w:hint="eastAsia"/>
          <w:sz w:val="30"/>
          <w:szCs w:val="30"/>
        </w:rPr>
        <w:t>1</w:t>
      </w:r>
      <w:r w:rsidR="00017E4E">
        <w:rPr>
          <w:rFonts w:ascii="Times New Roman" w:eastAsia="仿宋_GB2312" w:hAnsi="Times New Roman" w:cs="仿宋_GB2312" w:hint="eastAsia"/>
          <w:sz w:val="30"/>
          <w:szCs w:val="30"/>
        </w:rPr>
        <w:t>名，增加了人员经费和公用经费。</w:t>
      </w:r>
    </w:p>
    <w:p w:rsidR="00AE2896" w:rsidRDefault="00237ACD">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4.</w:t>
      </w:r>
      <w:r w:rsidR="00017E4E">
        <w:rPr>
          <w:rFonts w:ascii="Times New Roman" w:eastAsia="仿宋_GB2312" w:hAnsi="Times New Roman" w:cs="仿宋_GB2312" w:hint="eastAsia"/>
          <w:sz w:val="30"/>
          <w:szCs w:val="30"/>
        </w:rPr>
        <w:t>卫生健康支出（类）行政事业单位医疗（款）事业单位医疗（项）年初预算为</w:t>
      </w:r>
      <w:r w:rsidR="00017E4E">
        <w:rPr>
          <w:rFonts w:ascii="Times New Roman" w:eastAsia="仿宋_GB2312" w:hAnsi="Times New Roman" w:cs="仿宋_GB2312" w:hint="eastAsia"/>
          <w:sz w:val="30"/>
          <w:szCs w:val="30"/>
        </w:rPr>
        <w:t>82</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843.20</w:t>
      </w:r>
      <w:r w:rsidR="00017E4E">
        <w:rPr>
          <w:rFonts w:ascii="Times New Roman" w:eastAsia="仿宋_GB2312" w:hAnsi="Times New Roman" w:cs="仿宋_GB2312" w:hint="eastAsia"/>
          <w:sz w:val="30"/>
          <w:szCs w:val="30"/>
        </w:rPr>
        <w:t>元，支出决算为</w:t>
      </w:r>
      <w:r w:rsidR="00017E4E">
        <w:rPr>
          <w:rFonts w:ascii="Times New Roman" w:eastAsia="仿宋_GB2312" w:hAnsi="Times New Roman" w:cs="仿宋_GB2312" w:hint="eastAsia"/>
          <w:sz w:val="30"/>
          <w:szCs w:val="30"/>
        </w:rPr>
        <w:t>91</w:t>
      </w:r>
      <w:r w:rsidR="00BE2718">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774.18</w:t>
      </w:r>
      <w:r w:rsidR="00017E4E">
        <w:rPr>
          <w:rFonts w:ascii="Times New Roman" w:eastAsia="仿宋_GB2312" w:hAnsi="Times New Roman" w:cs="仿宋_GB2312" w:hint="eastAsia"/>
          <w:sz w:val="30"/>
          <w:szCs w:val="30"/>
        </w:rPr>
        <w:t>元，完成年初预算的</w:t>
      </w:r>
      <w:r w:rsidR="00017E4E">
        <w:rPr>
          <w:rFonts w:ascii="Times New Roman" w:eastAsia="仿宋_GB2312" w:hAnsi="Times New Roman" w:cs="仿宋_GB2312" w:hint="eastAsia"/>
          <w:sz w:val="30"/>
          <w:szCs w:val="30"/>
        </w:rPr>
        <w:t xml:space="preserve"> </w:t>
      </w:r>
      <w:r w:rsidRPr="00237ACD">
        <w:rPr>
          <w:rFonts w:ascii="Times New Roman" w:eastAsia="仿宋_GB2312" w:hAnsi="Times New Roman" w:cs="仿宋_GB2312"/>
          <w:sz w:val="30"/>
          <w:szCs w:val="30"/>
        </w:rPr>
        <w:t>110.78</w:t>
      </w:r>
      <w:r w:rsidR="00017E4E">
        <w:rPr>
          <w:rFonts w:ascii="Times New Roman" w:eastAsia="仿宋_GB2312" w:hAnsi="Times New Roman" w:cs="仿宋_GB2312" w:hint="eastAsia"/>
          <w:sz w:val="30"/>
          <w:szCs w:val="30"/>
        </w:rPr>
        <w:t>%</w:t>
      </w:r>
      <w:r w:rsidR="00017E4E">
        <w:rPr>
          <w:rFonts w:ascii="Times New Roman" w:eastAsia="仿宋_GB2312" w:hAnsi="Times New Roman" w:cs="仿宋_GB2312" w:hint="eastAsia"/>
          <w:sz w:val="30"/>
          <w:szCs w:val="30"/>
        </w:rPr>
        <w:t>，决算数大于年初预算数的主要原因新入职人员</w:t>
      </w:r>
      <w:r w:rsidR="00017E4E">
        <w:rPr>
          <w:rFonts w:ascii="Times New Roman" w:eastAsia="仿宋_GB2312" w:hAnsi="Times New Roman" w:cs="仿宋_GB2312" w:hint="eastAsia"/>
          <w:sz w:val="30"/>
          <w:szCs w:val="30"/>
        </w:rPr>
        <w:t>1</w:t>
      </w:r>
      <w:r w:rsidR="00017E4E">
        <w:rPr>
          <w:rFonts w:ascii="Times New Roman" w:eastAsia="仿宋_GB2312" w:hAnsi="Times New Roman" w:cs="仿宋_GB2312" w:hint="eastAsia"/>
          <w:sz w:val="30"/>
          <w:szCs w:val="30"/>
        </w:rPr>
        <w:t>名，增加了人员经费和公用经费。</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六、一般公共预算财政拨款基本支出决算情况说明</w:t>
      </w:r>
    </w:p>
    <w:p w:rsidR="00AE2896" w:rsidRDefault="00017E4E">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2,122,734.04</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311,701.56</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rPr>
        <w:t>新入职人员</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名，增加了人员经费和公用经费</w:t>
      </w:r>
      <w:r>
        <w:rPr>
          <w:rFonts w:ascii="Times New Roman" w:eastAsia="仿宋_GB2312" w:hAnsi="Times New Roman" w:cs="仿宋_GB2312" w:hint="eastAsia"/>
          <w:kern w:val="0"/>
          <w:sz w:val="30"/>
          <w:szCs w:val="30"/>
        </w:rPr>
        <w:t>其中：</w:t>
      </w:r>
    </w:p>
    <w:p w:rsidR="00AE2896" w:rsidRDefault="00017E4E">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2,060,235.15</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基本工资、津贴</w:t>
      </w:r>
      <w:bookmarkStart w:id="0" w:name="_GoBack"/>
      <w:bookmarkEnd w:id="0"/>
      <w:r>
        <w:rPr>
          <w:rFonts w:ascii="Times New Roman" w:eastAsia="仿宋_GB2312" w:hAnsi="Times New Roman" w:cs="仿宋_GB2312" w:hint="eastAsia"/>
          <w:sz w:val="30"/>
          <w:szCs w:val="30"/>
        </w:rPr>
        <w:t>补贴、绩效工资、机关事业单位基本养老保险缴费、职业年金缴费、职工基本医疗保险缴费、其他社会保障缴费、住房公积金</w:t>
      </w:r>
      <w:r w:rsidR="00357400">
        <w:rPr>
          <w:rFonts w:ascii="Times New Roman" w:eastAsia="仿宋_GB2312" w:hAnsi="Times New Roman" w:cs="仿宋_GB2312" w:hint="eastAsia"/>
          <w:sz w:val="30"/>
          <w:szCs w:val="30"/>
        </w:rPr>
        <w:t>、</w:t>
      </w:r>
      <w:r w:rsidR="00357400" w:rsidRPr="00357400">
        <w:rPr>
          <w:rFonts w:ascii="Times New Roman" w:eastAsia="仿宋_GB2312" w:hAnsi="Times New Roman" w:cs="仿宋_GB2312" w:hint="eastAsia"/>
          <w:sz w:val="30"/>
          <w:szCs w:val="30"/>
        </w:rPr>
        <w:t>退休费</w:t>
      </w:r>
      <w:r w:rsidR="00357400">
        <w:rPr>
          <w:rFonts w:ascii="Times New Roman" w:eastAsia="仿宋_GB2312" w:hAnsi="Times New Roman" w:cs="仿宋_GB2312" w:hint="eastAsia"/>
          <w:sz w:val="30"/>
          <w:szCs w:val="30"/>
        </w:rPr>
        <w:t>、</w:t>
      </w:r>
      <w:r w:rsidR="00357400" w:rsidRPr="00357400">
        <w:rPr>
          <w:rFonts w:ascii="Times New Roman" w:eastAsia="仿宋_GB2312" w:hAnsi="Times New Roman" w:cs="仿宋_GB2312" w:hint="eastAsia"/>
          <w:sz w:val="30"/>
          <w:szCs w:val="30"/>
        </w:rPr>
        <w:t>奖励金</w:t>
      </w:r>
      <w:r>
        <w:rPr>
          <w:rFonts w:ascii="Times New Roman" w:eastAsia="仿宋_GB2312" w:hAnsi="Times New Roman" w:cs="仿宋_GB2312" w:hint="eastAsia"/>
          <w:sz w:val="30"/>
          <w:szCs w:val="30"/>
        </w:rPr>
        <w:t>。</w:t>
      </w:r>
    </w:p>
    <w:p w:rsidR="00AE2896" w:rsidRDefault="00017E4E">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62,498.89</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办公费、手续费、水费、电费、取暖费、维修（护）费、劳务费、委托业务费、工会经费、福利费、其他商品和服务支出。</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rsidR="00AE2896" w:rsidRDefault="00017E4E">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rsidR="00AE2896" w:rsidRDefault="00017E4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color w:val="000000"/>
          <w:kern w:val="0"/>
          <w:sz w:val="30"/>
          <w:szCs w:val="30"/>
        </w:rPr>
        <w:t>天津市河东区唐家口街道党群服务中心</w:t>
      </w:r>
      <w:r>
        <w:rPr>
          <w:rFonts w:ascii="Times New Roman" w:eastAsia="宋体" w:hAnsi="Times New Roman" w:cs="宋体" w:hint="eastAsia"/>
          <w:color w:val="000000"/>
          <w:kern w:val="0"/>
          <w:sz w:val="30"/>
          <w:szCs w:val="30"/>
        </w:rPr>
        <w:t>2023</w:t>
      </w:r>
      <w:r>
        <w:rPr>
          <w:rFonts w:ascii="Times New Roman" w:eastAsia="仿宋_GB2312" w:hAnsi="Times New Roman" w:cs="仿宋_GB2312" w:hint="eastAsia"/>
          <w:kern w:val="0"/>
          <w:sz w:val="30"/>
          <w:szCs w:val="30"/>
        </w:rPr>
        <w:t>年度部门决算国有资本经营预算财政拨款年初结转和结余</w:t>
      </w:r>
      <w:r>
        <w:rPr>
          <w:rFonts w:ascii="Times New Roman" w:eastAsia="仿宋_GB2312" w:hAnsi="Times New Roman" w:cs="Times New Roman" w:hint="eastAsia"/>
          <w:sz w:val="30"/>
          <w:szCs w:val="30"/>
        </w:rPr>
        <w:t>0.00</w:t>
      </w:r>
      <w:r>
        <w:rPr>
          <w:rFonts w:ascii="Times New Roman" w:eastAsia="仿宋_GB2312" w:hAnsi="Times New Roman" w:cs="仿宋_GB2312" w:hint="eastAsia"/>
          <w:kern w:val="0"/>
          <w:sz w:val="30"/>
          <w:szCs w:val="30"/>
        </w:rPr>
        <w:t>元，收入</w:t>
      </w:r>
      <w:r>
        <w:rPr>
          <w:rFonts w:ascii="Times New Roman" w:eastAsia="仿宋_GB2312" w:hAnsi="Times New Roman" w:cs="Times New Roman" w:hint="eastAsia"/>
          <w:sz w:val="30"/>
          <w:szCs w:val="30"/>
        </w:rPr>
        <w:t>0.00</w:t>
      </w:r>
      <w:r>
        <w:rPr>
          <w:rFonts w:ascii="Times New Roman" w:eastAsia="仿宋_GB2312" w:hAnsi="Times New Roman" w:cs="仿宋_GB2312" w:hint="eastAsia"/>
          <w:kern w:val="0"/>
          <w:sz w:val="30"/>
          <w:szCs w:val="30"/>
        </w:rPr>
        <w:t>元，支出</w:t>
      </w:r>
      <w:r>
        <w:rPr>
          <w:rFonts w:ascii="Times New Roman" w:eastAsia="仿宋_GB2312" w:hAnsi="Times New Roman" w:cs="Times New Roman" w:hint="eastAsia"/>
          <w:sz w:val="30"/>
          <w:szCs w:val="30"/>
        </w:rPr>
        <w:t>0.00</w:t>
      </w:r>
      <w:r>
        <w:rPr>
          <w:rFonts w:ascii="Times New Roman" w:eastAsia="仿宋_GB2312" w:hAnsi="Times New Roman" w:cs="仿宋_GB2312" w:hint="eastAsia"/>
          <w:kern w:val="0"/>
          <w:sz w:val="30"/>
          <w:szCs w:val="30"/>
        </w:rPr>
        <w:t>元，年末结余和结余</w:t>
      </w:r>
      <w:r>
        <w:rPr>
          <w:rFonts w:ascii="Times New Roman" w:eastAsia="仿宋_GB2312" w:hAnsi="Times New Roman" w:cs="Times New Roman" w:hint="eastAsia"/>
          <w:sz w:val="30"/>
          <w:szCs w:val="30"/>
        </w:rPr>
        <w:t>0.00</w:t>
      </w:r>
      <w:r>
        <w:rPr>
          <w:rFonts w:ascii="Times New Roman" w:eastAsia="仿宋_GB2312" w:hAnsi="Times New Roman" w:cs="仿宋_GB2312" w:hint="eastAsia"/>
          <w:kern w:val="0"/>
          <w:sz w:val="30"/>
          <w:szCs w:val="30"/>
        </w:rPr>
        <w:t>元。主要原因是</w:t>
      </w:r>
      <w:r>
        <w:rPr>
          <w:rFonts w:ascii="Times New Roman" w:eastAsia="楷体_GB2312" w:hAnsi="Times New Roman" w:cs="楷体_GB2312" w:hint="eastAsia"/>
          <w:sz w:val="30"/>
          <w:szCs w:val="30"/>
          <w:lang w:val="zh-CN"/>
        </w:rPr>
        <w:t>：</w:t>
      </w: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AE2896" w:rsidRDefault="00017E4E">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rsidR="00AE2896" w:rsidRDefault="00017E4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w:t>
      </w:r>
      <w:r w:rsidR="00FF13B7">
        <w:rPr>
          <w:rFonts w:ascii="Times New Roman" w:eastAsia="仿宋_GB2312" w:hAnsi="Times New Roman" w:cs="仿宋_GB2312" w:hint="eastAsia"/>
          <w:kern w:val="0"/>
          <w:sz w:val="30"/>
          <w:szCs w:val="30"/>
        </w:rPr>
        <w:t>，与预算相比持平，较上年持平</w:t>
      </w:r>
      <w:r w:rsidR="00FF13B7">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本年度未用财政拨款经费列支因公出国（境）费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公务用车购置费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公务用车运行维护费</w:t>
      </w:r>
      <w:r>
        <w:rPr>
          <w:rFonts w:ascii="Times New Roman" w:eastAsia="仿宋_GB2312" w:hAnsi="Times New Roman" w:cs="仿宋_GB2312" w:hint="eastAsia"/>
          <w:sz w:val="30"/>
          <w:szCs w:val="30"/>
        </w:rPr>
        <w:t>/</w:t>
      </w:r>
      <w:r w:rsidR="00EE5542">
        <w:rPr>
          <w:rFonts w:ascii="Times New Roman" w:eastAsia="仿宋_GB2312" w:hAnsi="Times New Roman" w:cs="仿宋_GB2312" w:hint="eastAsia"/>
          <w:sz w:val="30"/>
          <w:szCs w:val="30"/>
        </w:rPr>
        <w:t>公务接待费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本年度未用财政拨款经费列支因公出国（境）费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公务用车购置费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公务用车运行维护费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公务接待费。</w:t>
      </w:r>
    </w:p>
    <w:p w:rsidR="00AE2896" w:rsidRDefault="00017E4E">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w:t>
      </w:r>
      <w:r w:rsidR="00FF13B7">
        <w:rPr>
          <w:rFonts w:ascii="Times New Roman" w:eastAsia="仿宋_GB2312" w:hAnsi="Times New Roman" w:cs="仿宋_GB2312" w:hint="eastAsia"/>
          <w:kern w:val="0"/>
          <w:sz w:val="30"/>
          <w:szCs w:val="30"/>
        </w:rPr>
        <w:t>，与预算相比持平，较上年持平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本年度未用财政拨款经费列支因公出国（境）费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本年度未用财政拨款经费列支因公出国（境）费</w:t>
      </w:r>
      <w:r w:rsidR="00EE5542">
        <w:rPr>
          <w:rFonts w:ascii="Times New Roman" w:eastAsia="仿宋_GB2312" w:hAnsi="Times New Roman" w:cs="仿宋_GB2312" w:hint="eastAsia"/>
          <w:sz w:val="30"/>
          <w:szCs w:val="30"/>
        </w:rPr>
        <w:t>。</w:t>
      </w:r>
    </w:p>
    <w:p w:rsidR="00AE2896" w:rsidRDefault="00017E4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AE2896" w:rsidRDefault="00017E4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w:t>
      </w:r>
      <w:r w:rsidR="00FF13B7">
        <w:rPr>
          <w:rFonts w:ascii="Times New Roman" w:eastAsia="仿宋_GB2312" w:hAnsi="Times New Roman" w:cs="仿宋_GB2312" w:hint="eastAsia"/>
          <w:kern w:val="0"/>
          <w:sz w:val="30"/>
          <w:szCs w:val="30"/>
        </w:rPr>
        <w:t>，与预算相比持平，较上年持平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sidR="00EE5542">
        <w:rPr>
          <w:rFonts w:ascii="Times New Roman" w:eastAsia="仿宋_GB2312" w:hAnsi="Times New Roman" w:cs="仿宋_GB2312" w:hint="eastAsia"/>
          <w:sz w:val="30"/>
          <w:szCs w:val="30"/>
        </w:rPr>
        <w:t>本年度未用财政拨款经费列支公务用车购置费及公务用车运行维护费</w:t>
      </w:r>
      <w:r w:rsidR="00237ACD">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本年度未用财政拨款经费列支公务用车购置费及公务用车运行维护费。</w:t>
      </w:r>
      <w:r>
        <w:rPr>
          <w:rFonts w:ascii="Times New Roman" w:eastAsia="仿宋_GB2312" w:hAnsi="Times New Roman" w:cs="仿宋_GB2312" w:hint="eastAsia"/>
          <w:kern w:val="0"/>
          <w:sz w:val="30"/>
          <w:szCs w:val="30"/>
        </w:rPr>
        <w:t>其中：</w:t>
      </w: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w:t>
      </w:r>
      <w:r w:rsidR="00FF13B7">
        <w:rPr>
          <w:rFonts w:ascii="Times New Roman" w:eastAsia="仿宋_GB2312" w:hAnsi="Times New Roman" w:cs="仿宋_GB2312" w:hint="eastAsia"/>
          <w:kern w:val="0"/>
          <w:sz w:val="30"/>
          <w:szCs w:val="30"/>
        </w:rPr>
        <w:t>，与预算相比持平，较上年持平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sidR="00EE5542">
        <w:rPr>
          <w:rFonts w:ascii="Times New Roman" w:eastAsia="仿宋_GB2312" w:hAnsi="Times New Roman" w:cs="仿宋_GB2312" w:hint="eastAsia"/>
          <w:sz w:val="30"/>
          <w:szCs w:val="30"/>
        </w:rPr>
        <w:t>本年度未</w:t>
      </w:r>
      <w:r w:rsidR="00EE5542">
        <w:rPr>
          <w:rFonts w:ascii="Times New Roman" w:eastAsia="仿宋_GB2312" w:hAnsi="Times New Roman" w:cs="仿宋_GB2312" w:hint="eastAsia"/>
          <w:sz w:val="30"/>
          <w:szCs w:val="30"/>
        </w:rPr>
        <w:lastRenderedPageBreak/>
        <w:t>用财政拨款经费列支公务用车运行维护费</w:t>
      </w:r>
      <w:r w:rsidR="00237ACD">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本年度未用财政拨款经费列支公务用车运行维护费。</w:t>
      </w:r>
    </w:p>
    <w:p w:rsidR="00AE2896" w:rsidRDefault="00017E4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w:t>
      </w:r>
      <w:r w:rsidR="00FF13B7">
        <w:rPr>
          <w:rFonts w:ascii="Times New Roman" w:eastAsia="仿宋_GB2312" w:hAnsi="Times New Roman" w:cs="仿宋_GB2312" w:hint="eastAsia"/>
          <w:kern w:val="0"/>
          <w:sz w:val="30"/>
          <w:szCs w:val="30"/>
        </w:rPr>
        <w:t>，与预算相比持平，较上年持平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本年度未用财政拨款经费列支公务用车购置费</w:t>
      </w:r>
      <w:r w:rsidR="00237ACD">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w:t>
      </w:r>
      <w:r w:rsidR="00EE5542">
        <w:rPr>
          <w:rFonts w:ascii="Times New Roman" w:eastAsia="仿宋_GB2312" w:hAnsi="Times New Roman" w:cs="仿宋_GB2312" w:hint="eastAsia"/>
          <w:sz w:val="30"/>
          <w:szCs w:val="30"/>
        </w:rPr>
        <w:t>。</w:t>
      </w: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AE2896" w:rsidRDefault="00017E4E">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w:t>
      </w:r>
      <w:r w:rsidR="00FF13B7">
        <w:rPr>
          <w:rFonts w:ascii="Times New Roman" w:eastAsia="仿宋_GB2312" w:hAnsi="Times New Roman" w:cs="仿宋_GB2312" w:hint="eastAsia"/>
          <w:kern w:val="0"/>
          <w:sz w:val="30"/>
          <w:szCs w:val="30"/>
        </w:rPr>
        <w:t>，与预算相比持平，较上年持平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sidR="00EE5542">
        <w:rPr>
          <w:rFonts w:ascii="Times New Roman" w:eastAsia="仿宋_GB2312" w:hAnsi="Times New Roman" w:cs="仿宋_GB2312" w:hint="eastAsia"/>
          <w:sz w:val="30"/>
          <w:szCs w:val="30"/>
        </w:rPr>
        <w:t>本年度未用财政拨款经费列支公务接待费</w:t>
      </w:r>
      <w:r w:rsidR="00237ACD">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本年度未用财政拨款经费列支公务接待费。</w:t>
      </w:r>
    </w:p>
    <w:p w:rsidR="00AE2896" w:rsidRDefault="00017E4E">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AE2896" w:rsidRPr="00EE5542" w:rsidRDefault="00017E4E" w:rsidP="00EE5542">
      <w:pPr>
        <w:autoSpaceDE w:val="0"/>
        <w:autoSpaceDN w:val="0"/>
        <w:adjustRightInd w:val="0"/>
        <w:spacing w:line="58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机关运行经费是指行政单位和参照公务员法管理的事业单位使用一般公共预算财政拨款安排的基本支出中的日常公用经费支出，</w:t>
      </w: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w:t>
      </w:r>
      <w:proofErr w:type="gramStart"/>
      <w:r>
        <w:rPr>
          <w:rFonts w:ascii="Times New Roman" w:eastAsia="仿宋_GB2312" w:hAnsi="Times New Roman" w:cs="仿宋_GB2312" w:hint="eastAsia"/>
          <w:sz w:val="30"/>
          <w:szCs w:val="30"/>
        </w:rPr>
        <w:t>无机关</w:t>
      </w:r>
      <w:proofErr w:type="gramEnd"/>
      <w:r>
        <w:rPr>
          <w:rFonts w:ascii="Times New Roman" w:eastAsia="仿宋_GB2312" w:hAnsi="Times New Roman" w:cs="仿宋_GB2312" w:hint="eastAsia"/>
          <w:sz w:val="30"/>
          <w:szCs w:val="30"/>
        </w:rPr>
        <w:t>运行经费。</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十一、政府采购支出情况说明</w:t>
      </w:r>
    </w:p>
    <w:p w:rsidR="00AE2896" w:rsidRDefault="00017E4E">
      <w:pPr>
        <w:autoSpaceDE w:val="0"/>
        <w:autoSpaceDN w:val="0"/>
        <w:adjustRightInd w:val="0"/>
        <w:spacing w:line="600" w:lineRule="exact"/>
        <w:ind w:firstLine="600"/>
        <w:jc w:val="left"/>
        <w:rPr>
          <w:rFonts w:ascii="Times New Roman" w:eastAsia="楷体" w:hAnsi="Times New Roman" w:cs="Times New Roman"/>
          <w:kern w:val="0"/>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年度无政府采购支出。</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FF13B7" w:rsidRDefault="00FF13B7" w:rsidP="00FF13B7">
      <w:pPr>
        <w:autoSpaceDE w:val="0"/>
        <w:autoSpaceDN w:val="0"/>
        <w:adjustRightInd w:val="0"/>
        <w:spacing w:line="600" w:lineRule="exact"/>
        <w:ind w:firstLine="720"/>
        <w:jc w:val="left"/>
        <w:rPr>
          <w:rFonts w:ascii="Times New Roman" w:eastAsia="仿宋_GB2312" w:hAnsi="Times New Roman" w:cs="Times New Roman"/>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w:t>
      </w: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仿宋_GB2312" w:hint="eastAsia"/>
          <w:color w:val="000000"/>
          <w:kern w:val="0"/>
          <w:sz w:val="30"/>
          <w:szCs w:val="30"/>
        </w:rPr>
        <w:t>共有车辆</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color w:val="000000"/>
          <w:kern w:val="0"/>
          <w:sz w:val="30"/>
          <w:szCs w:val="30"/>
        </w:rPr>
        <w:t>辆，其中：</w:t>
      </w:r>
      <w:r>
        <w:rPr>
          <w:rFonts w:ascii="Times New Roman" w:eastAsia="仿宋_GB2312" w:hAnsi="Times New Roman" w:cs="Times New Roman"/>
          <w:kern w:val="0"/>
          <w:sz w:val="30"/>
          <w:szCs w:val="30"/>
        </w:rPr>
        <w:t>副部（省）级及以上领导用车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主要</w:t>
      </w:r>
      <w:r>
        <w:rPr>
          <w:rFonts w:ascii="Times New Roman" w:eastAsia="仿宋_GB2312" w:hAnsi="Times New Roman" w:cs="Times New Roman" w:hint="eastAsia"/>
          <w:kern w:val="0"/>
          <w:sz w:val="30"/>
          <w:szCs w:val="30"/>
        </w:rPr>
        <w:t>负责人</w:t>
      </w:r>
      <w:r>
        <w:rPr>
          <w:rFonts w:ascii="Times New Roman" w:eastAsia="仿宋_GB2312" w:hAnsi="Times New Roman" w:cs="Times New Roman"/>
          <w:kern w:val="0"/>
          <w:sz w:val="30"/>
          <w:szCs w:val="30"/>
        </w:rPr>
        <w:t>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机要通信用车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应急保障用车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执法执勤用车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特种专业技术用车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离退休干部</w:t>
      </w:r>
      <w:r>
        <w:rPr>
          <w:rFonts w:ascii="Times New Roman" w:eastAsia="仿宋_GB2312" w:hAnsi="Times New Roman" w:cs="Times New Roman" w:hint="eastAsia"/>
          <w:kern w:val="0"/>
          <w:sz w:val="30"/>
          <w:szCs w:val="30"/>
        </w:rPr>
        <w:t>服务</w:t>
      </w:r>
      <w:r>
        <w:rPr>
          <w:rFonts w:ascii="Times New Roman" w:eastAsia="仿宋_GB2312" w:hAnsi="Times New Roman" w:cs="Times New Roman"/>
          <w:kern w:val="0"/>
          <w:sz w:val="30"/>
          <w:szCs w:val="30"/>
        </w:rPr>
        <w:t>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ascii="Times New Roman" w:eastAsia="仿宋_GB2312" w:hAnsi="Times New Roman" w:cs="仿宋_GB2312" w:hint="eastAsia"/>
          <w:kern w:val="0"/>
          <w:sz w:val="30"/>
          <w:szCs w:val="30"/>
          <w:lang w:val="zh-CN"/>
        </w:rPr>
        <w:t>。</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台（套）。</w:t>
      </w:r>
    </w:p>
    <w:p w:rsidR="00FF13B7" w:rsidRDefault="00FF13B7" w:rsidP="00FF13B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天津市河东区唐家口街道党群服务中心</w:t>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023</w:t>
      </w:r>
      <w:r>
        <w:rPr>
          <w:rFonts w:ascii="Times New Roman" w:eastAsia="仿宋_GB2312" w:hAnsi="Times New Roman" w:cs="仿宋_GB2312" w:hint="eastAsia"/>
          <w:sz w:val="30"/>
          <w:szCs w:val="30"/>
        </w:rPr>
        <w:t>年度无国有资产占有使用情况。</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本部门</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年度没有项目支出，无需开展部门评价。</w:t>
      </w:r>
    </w:p>
    <w:p w:rsidR="00AE2896" w:rsidRDefault="00017E4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AE2896" w:rsidRPr="00EE5542" w:rsidRDefault="00017E4E" w:rsidP="00EE554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天津市河东区唐家口街道党群服务中心不属于乡、镇、</w:t>
      </w:r>
      <w:proofErr w:type="gramStart"/>
      <w:r>
        <w:rPr>
          <w:rFonts w:ascii="Times New Roman" w:eastAsia="仿宋_GB2312" w:hAnsi="Times New Roman" w:cs="仿宋_GB2312" w:hint="eastAsia"/>
          <w:sz w:val="30"/>
          <w:szCs w:val="30"/>
        </w:rPr>
        <w:t>街级单位</w:t>
      </w:r>
      <w:proofErr w:type="gramEnd"/>
      <w:r>
        <w:rPr>
          <w:rFonts w:ascii="Times New Roman" w:eastAsia="仿宋_GB2312" w:hAnsi="Times New Roman" w:cs="仿宋_GB2312" w:hint="eastAsia"/>
          <w:sz w:val="30"/>
          <w:szCs w:val="30"/>
        </w:rPr>
        <w:t>，不涉及公开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r>
        <w:rPr>
          <w:rFonts w:ascii="Times New Roman" w:eastAsia="仿宋_GB2312" w:hAnsi="Times New Roman" w:cs="仿宋_GB2312"/>
          <w:b/>
          <w:bCs/>
          <w:color w:val="000000"/>
          <w:kern w:val="0"/>
          <w:sz w:val="30"/>
          <w:szCs w:val="30"/>
        </w:rPr>
        <w:br w:type="page"/>
      </w:r>
    </w:p>
    <w:p w:rsidR="00AE2896" w:rsidRDefault="00017E4E">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AE2896" w:rsidRDefault="00AE2896">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AE2896" w:rsidRDefault="00017E4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AE2896" w:rsidRDefault="00017E4E">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单位公务出国（境）的国际旅费、国外城市间交通费、住宿费、伙食费、培训费、公杂费等支出；公务用车购置及运行</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单位公务用车车辆购置支出（</w:t>
      </w:r>
      <w:proofErr w:type="gramStart"/>
      <w:r>
        <w:rPr>
          <w:rFonts w:ascii="Times New Roman" w:eastAsia="仿宋_GB2312" w:hAnsi="Times New Roman" w:cs="仿宋_GB2312" w:hint="eastAsia"/>
          <w:kern w:val="0"/>
          <w:sz w:val="30"/>
          <w:szCs w:val="30"/>
        </w:rPr>
        <w:t>含车辆</w:t>
      </w:r>
      <w:proofErr w:type="gramEnd"/>
      <w:r>
        <w:rPr>
          <w:rFonts w:ascii="Times New Roman" w:eastAsia="仿宋_GB2312" w:hAnsi="Times New Roman" w:cs="仿宋_GB2312" w:hint="eastAsia"/>
          <w:kern w:val="0"/>
          <w:sz w:val="30"/>
          <w:szCs w:val="30"/>
        </w:rPr>
        <w:t>购置税）及燃料费、维修费、过桥过路费、保险费、安全奖励费用等支出；公务接待</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单位按规定开支的各类公务接待（含外宾接待）支出。</w:t>
      </w:r>
    </w:p>
    <w:sectPr w:rsidR="00AE289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E31" w:rsidRDefault="00FD1E31" w:rsidP="00EE5542">
      <w:r>
        <w:separator/>
      </w:r>
    </w:p>
  </w:endnote>
  <w:endnote w:type="continuationSeparator" w:id="0">
    <w:p w:rsidR="00FD1E31" w:rsidRDefault="00FD1E31" w:rsidP="00EE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E31" w:rsidRDefault="00FD1E31" w:rsidP="00EE5542">
      <w:r>
        <w:separator/>
      </w:r>
    </w:p>
  </w:footnote>
  <w:footnote w:type="continuationSeparator" w:id="0">
    <w:p w:rsidR="00FD1E31" w:rsidRDefault="00FD1E31" w:rsidP="00EE5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YTYxNzQwYTk1MDM4YTdjNWU4MGNkZGU0MzE1ZTMifQ=="/>
  </w:docVars>
  <w:rsids>
    <w:rsidRoot w:val="006A094D"/>
    <w:rsid w:val="00013A12"/>
    <w:rsid w:val="00017E4E"/>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37ACD"/>
    <w:rsid w:val="00264B59"/>
    <w:rsid w:val="002A4997"/>
    <w:rsid w:val="002E6086"/>
    <w:rsid w:val="00302490"/>
    <w:rsid w:val="003227B2"/>
    <w:rsid w:val="003536BE"/>
    <w:rsid w:val="00357400"/>
    <w:rsid w:val="003B25FB"/>
    <w:rsid w:val="004A482F"/>
    <w:rsid w:val="004F39BF"/>
    <w:rsid w:val="005062D7"/>
    <w:rsid w:val="005175E6"/>
    <w:rsid w:val="00525157"/>
    <w:rsid w:val="005349A2"/>
    <w:rsid w:val="00575537"/>
    <w:rsid w:val="005B4F02"/>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619A6"/>
    <w:rsid w:val="00977DCC"/>
    <w:rsid w:val="009820CF"/>
    <w:rsid w:val="00982A8B"/>
    <w:rsid w:val="009A7ED3"/>
    <w:rsid w:val="009D74D7"/>
    <w:rsid w:val="00A57AE7"/>
    <w:rsid w:val="00AE2896"/>
    <w:rsid w:val="00AF71AE"/>
    <w:rsid w:val="00B33C70"/>
    <w:rsid w:val="00B75228"/>
    <w:rsid w:val="00B811F1"/>
    <w:rsid w:val="00B81B9F"/>
    <w:rsid w:val="00BC763A"/>
    <w:rsid w:val="00BC7D6F"/>
    <w:rsid w:val="00BD3CAC"/>
    <w:rsid w:val="00BE2718"/>
    <w:rsid w:val="00BF697A"/>
    <w:rsid w:val="00C52E77"/>
    <w:rsid w:val="00C65A44"/>
    <w:rsid w:val="00C76AC3"/>
    <w:rsid w:val="00C83EB4"/>
    <w:rsid w:val="00D4505A"/>
    <w:rsid w:val="00D65B41"/>
    <w:rsid w:val="00DC3234"/>
    <w:rsid w:val="00DC3CD0"/>
    <w:rsid w:val="00DD60B5"/>
    <w:rsid w:val="00E7602B"/>
    <w:rsid w:val="00E964B2"/>
    <w:rsid w:val="00EA6549"/>
    <w:rsid w:val="00EE5542"/>
    <w:rsid w:val="00F007FE"/>
    <w:rsid w:val="00FD1E31"/>
    <w:rsid w:val="00FF13B7"/>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Char"/>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Char"/>
    <w:autoRedefine/>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autoRedefine/>
    <w:uiPriority w:val="99"/>
    <w:unhideWhenUsed/>
    <w:qFormat/>
    <w:pPr>
      <w:tabs>
        <w:tab w:val="center" w:pos="4153"/>
        <w:tab w:val="right" w:pos="8306"/>
      </w:tabs>
      <w:snapToGrid w:val="0"/>
      <w:jc w:val="center"/>
    </w:pPr>
    <w:rPr>
      <w:sz w:val="18"/>
      <w:szCs w:val="18"/>
    </w:rPr>
  </w:style>
  <w:style w:type="character" w:customStyle="1" w:styleId="1Char">
    <w:name w:val="标题 1 Char"/>
    <w:basedOn w:val="a0"/>
    <w:link w:val="1"/>
    <w:autoRedefine/>
    <w:uiPriority w:val="99"/>
    <w:qFormat/>
    <w:rPr>
      <w:rFonts w:ascii="方正小标宋简体" w:eastAsia="方正小标宋简体"/>
      <w:kern w:val="0"/>
      <w:sz w:val="24"/>
      <w:szCs w:val="24"/>
    </w:rPr>
  </w:style>
  <w:style w:type="character" w:customStyle="1" w:styleId="2Char">
    <w:name w:val="标题 2 Char"/>
    <w:basedOn w:val="a0"/>
    <w:link w:val="2"/>
    <w:autoRedefine/>
    <w:uiPriority w:val="99"/>
    <w:qFormat/>
    <w:rPr>
      <w:rFonts w:ascii="方正小标宋简体" w:eastAsia="方正小标宋简体"/>
      <w:kern w:val="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Char"/>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Char"/>
    <w:autoRedefine/>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autoRedefine/>
    <w:uiPriority w:val="99"/>
    <w:unhideWhenUsed/>
    <w:qFormat/>
    <w:pPr>
      <w:tabs>
        <w:tab w:val="center" w:pos="4153"/>
        <w:tab w:val="right" w:pos="8306"/>
      </w:tabs>
      <w:snapToGrid w:val="0"/>
      <w:jc w:val="center"/>
    </w:pPr>
    <w:rPr>
      <w:sz w:val="18"/>
      <w:szCs w:val="18"/>
    </w:rPr>
  </w:style>
  <w:style w:type="character" w:customStyle="1" w:styleId="1Char">
    <w:name w:val="标题 1 Char"/>
    <w:basedOn w:val="a0"/>
    <w:link w:val="1"/>
    <w:autoRedefine/>
    <w:uiPriority w:val="99"/>
    <w:qFormat/>
    <w:rPr>
      <w:rFonts w:ascii="方正小标宋简体" w:eastAsia="方正小标宋简体"/>
      <w:kern w:val="0"/>
      <w:sz w:val="24"/>
      <w:szCs w:val="24"/>
    </w:rPr>
  </w:style>
  <w:style w:type="character" w:customStyle="1" w:styleId="2Char">
    <w:name w:val="标题 2 Char"/>
    <w:basedOn w:val="a0"/>
    <w:link w:val="2"/>
    <w:autoRedefine/>
    <w:uiPriority w:val="99"/>
    <w:qFormat/>
    <w:rPr>
      <w:rFonts w:ascii="方正小标宋简体" w:eastAsia="方正小标宋简体"/>
      <w:kern w:val="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780</Words>
  <Characters>4450</Characters>
  <Application>Microsoft Office Word</Application>
  <DocSecurity>0</DocSecurity>
  <Lines>37</Lines>
  <Paragraphs>10</Paragraphs>
  <ScaleCrop>false</ScaleCrop>
  <Company>Microsoft</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Lenovo</cp:lastModifiedBy>
  <cp:revision>6</cp:revision>
  <dcterms:created xsi:type="dcterms:W3CDTF">2024-08-19T07:30:00Z</dcterms:created>
  <dcterms:modified xsi:type="dcterms:W3CDTF">2024-08-26T02:21:00Z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