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天津市河东区残疾人联合会(本级)2023年度部门决算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1.协调政府研究、制定和实施残疾人事业的法规政策、规划和计划，发挥综合、组织、咨询、服务作用，对有关领域的工作进行管理和指导。</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2.开展和促进残疾人的康复、教育、技能培训、劳动就业、文化体育、托养服务、社会服务、福利事业和残疾预防工作，改善残疾人参与社会生活的环境和条件。</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3.健全残疾人社会保障制度，将残疾人扶贫纳入政府扶贫计划、加大投入、统一实施，切实改善残疾人生活。</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4.团结教育残疾人遵守法律，履行应尽的义务，发扬乐观进取精神，自尊、自信、自强、自立，为社会贡献力量。</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5.宣传残疾人事业，沟通政府、社会与残疾人之间的联系，动员社会发扬社会主义人道精神，理解、尊重、关心、帮助残疾人，促进残疾人平等参与社会生活。</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6.负责核发《中华人民共和国残疾人证》。</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7.掌握全区残疾人基本情况，定期开展对残疾人特困户的走访慰问工作。</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8.负责区、街、社区三级残疾人组织建设，检查区、街、社区扶助残疾人具体规定执行情况。</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9.负责残疾人福利基金会的基金募集和管理工作。</w:t>
      </w:r>
    </w:p>
    <w:p>
      <w:pPr>
        <w:autoSpaceDE w:val="0"/>
        <w:autoSpaceDN w:val="0"/>
        <w:adjustRightInd w:val="0"/>
        <w:spacing w:line="600"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10.承办区委、区政府和市残联交办的其他工作。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天津市河东区残疾人联合会(本级)内设3个职能</w:t>
      </w:r>
      <w:r>
        <w:rPr>
          <w:rFonts w:hint="eastAsia" w:ascii="Times New Roman" w:hAnsi="Times New Roman" w:eastAsia="仿宋_GB2312" w:cs="仿宋_GB2312"/>
          <w:sz w:val="30"/>
          <w:szCs w:val="30"/>
          <w:lang w:eastAsia="zh-CN"/>
        </w:rPr>
        <w:t>科</w:t>
      </w:r>
      <w:r>
        <w:rPr>
          <w:rFonts w:hint="eastAsia" w:ascii="Times New Roman" w:hAnsi="Times New Roman" w:eastAsia="仿宋_GB2312" w:cs="仿宋_GB2312"/>
          <w:sz w:val="30"/>
          <w:szCs w:val="30"/>
        </w:rPr>
        <w:t>室；</w:t>
      </w:r>
      <w:r>
        <w:rPr>
          <w:rFonts w:hint="eastAsia" w:ascii="Times New Roman" w:hAnsi="Times New Roman" w:eastAsia="仿宋_GB2312" w:cs="仿宋_GB2312"/>
          <w:sz w:val="30"/>
          <w:szCs w:val="30"/>
          <w:lang w:eastAsia="zh-CN"/>
        </w:rPr>
        <w:t>无</w:t>
      </w:r>
      <w:r>
        <w:rPr>
          <w:rFonts w:hint="eastAsia" w:ascii="Times New Roman" w:hAnsi="Times New Roman" w:eastAsia="仿宋_GB2312" w:cs="仿宋_GB2312"/>
          <w:sz w:val="30"/>
          <w:szCs w:val="30"/>
        </w:rPr>
        <w:t>下辖预算单位。</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1.天津市河东区残疾人联合会（本级）2023年度政府性基金预算财政拨款收入支出决算表为空表。</w:t>
      </w:r>
    </w:p>
    <w:p>
      <w:pPr>
        <w:autoSpaceDE w:val="0"/>
        <w:autoSpaceDN w:val="0"/>
        <w:adjustRightInd w:val="0"/>
        <w:spacing w:line="600" w:lineRule="exact"/>
        <w:ind w:firstLine="601"/>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2.天津市河东区残疾人联合会（本级）2023年度国有资本经营预算财政拨款收入支出决算表为空表。 </w:t>
      </w:r>
    </w:p>
    <w:p>
      <w:pPr>
        <w:autoSpaceDE w:val="0"/>
        <w:autoSpaceDN w:val="0"/>
        <w:adjustRightInd w:val="0"/>
        <w:spacing w:line="600" w:lineRule="exact"/>
        <w:ind w:firstLine="601"/>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3.天津市河东区残疾人联合会（本级）2023年度财政拨款“三公”经费支出决算表为空表。</w:t>
      </w:r>
    </w:p>
    <w:p>
      <w:pPr>
        <w:autoSpaceDE w:val="0"/>
        <w:autoSpaceDN w:val="0"/>
        <w:adjustRightInd w:val="0"/>
        <w:spacing w:line="600" w:lineRule="exact"/>
        <w:ind w:firstLine="601"/>
        <w:rPr>
          <w:rFonts w:ascii="Times New Roman" w:hAnsi="Times New Roman" w:eastAsia="仿宋_GB2312" w:cs="仿宋_GB2312"/>
          <w:sz w:val="30"/>
          <w:szCs w:val="30"/>
        </w:rPr>
      </w:pPr>
      <w:r>
        <w:rPr>
          <w:rFonts w:hint="eastAsia" w:ascii="Times New Roman" w:hAnsi="Times New Roman" w:eastAsia="仿宋_GB2312" w:cs="仿宋_GB2312"/>
          <w:sz w:val="30"/>
          <w:szCs w:val="30"/>
        </w:rPr>
        <w:t>4.天津市河东区残疾人联合会（本级）2023年度项目支出决算表为空表。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天津市河东区残疾人联合会(本级)2023年度收入、支出决算总计</w:t>
      </w:r>
      <w:r>
        <w:rPr>
          <w:rFonts w:hint="eastAsia" w:ascii="Times New Roman" w:hAnsi="Times New Roman" w:eastAsia="仿宋_GB2312" w:cs="仿宋_GB2312"/>
          <w:sz w:val="30"/>
          <w:szCs w:val="30"/>
        </w:rPr>
        <w:t>2,883,644.47元，与2022年度相比，收、支总计各增加366,376.69元，增长14.55%，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：2023年新调入1名在职人员、新招录1名在职人员、2022年新招录人员转正，相应收支较上年增多。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天津市河东区残疾人联合会(本级)</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2,883,644.47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年度相比增加366,376.69元，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：2023年新调入1名在职人员、新招录1名在职人员、2022年新招录人员转正，相应收入较上年增多。</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2,883,644.47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天津市河东区残疾人联合会(本级)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年度本年支出合计2,873,204.06元，与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年度相比增加521,695.63元，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2023年新调入1名在职人员、新招录1名在职人员、2022年新招录人员转正，相应支出较上年增多。</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2,873,204.06元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天津市河东区残疾人联合会(本级)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2,883,644.47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年度相比，财政拨款收、支总计各增加366,376.69元，增长14.55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2023年新调入1名在职人员、新招录1名在职人员、2022年新招录人员转正，相应收支较上年增多。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天津市河东区残疾人联合会(本级)2023年度部门决算一般公共预算财政拨款支出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计2,873,204.06元，占本年支出合计的100.0%，与2022年度相比，一般公共预算财政拨款支出增加521,695.63元，增长22.19%，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：2023年新调入1名在职人员、新招录1名在职人员、2022年新招录人员转正，相应支出较上年增多。</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2,873,204.06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highlight w:val="none"/>
          <w:lang w:eastAsia="zh-CN"/>
        </w:rPr>
        <w:t>社会保障和就业支出2,724,282.66元，占94.82%；卫生健康支出148,921.40元，占5.18%。</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2,461,776.15</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2,873,204.06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116.71%</w:t>
      </w:r>
      <w:r>
        <w:rPr>
          <w:rFonts w:hint="eastAsia" w:ascii="Times New Roman" w:hAnsi="Times New Roman" w:eastAsia="仿宋_GB2312" w:cs="仿宋_GB2312"/>
          <w:kern w:val="0"/>
          <w:sz w:val="30"/>
          <w:szCs w:val="30"/>
        </w:rPr>
        <w:t>。其中：</w:t>
      </w:r>
    </w:p>
    <w:p>
      <w:pPr>
        <w:numPr>
          <w:ilvl w:val="0"/>
          <w:numId w:val="1"/>
        </w:numPr>
        <w:spacing w:line="600" w:lineRule="exact"/>
        <w:ind w:firstLine="600"/>
        <w:rPr>
          <w:rFonts w:hint="eastAsia" w:ascii="Times New Roman" w:hAnsi="Times New Roman" w:eastAsia="仿宋_GB2312"/>
          <w:sz w:val="30"/>
          <w:lang w:val="en-US" w:eastAsia="zh-CN"/>
        </w:rPr>
      </w:pPr>
      <w:r>
        <w:rPr>
          <w:rFonts w:hint="eastAsia" w:ascii="Times New Roman" w:hAnsi="Times New Roman" w:eastAsia="仿宋_GB2312"/>
          <w:sz w:val="30"/>
        </w:rPr>
        <w:t>社会保障和就业支出</w:t>
      </w:r>
      <w:r>
        <w:rPr>
          <w:rFonts w:hint="eastAsia" w:ascii="仿宋_GB2312" w:hAnsi="Times New Roman" w:eastAsia="仿宋_GB2312"/>
          <w:sz w:val="30"/>
        </w:rPr>
        <w:t>（类）行政事业单位养老支出（款）机关事业单位基本养老保险缴费支出（项）年初预算为</w:t>
      </w:r>
      <w:r>
        <w:rPr>
          <w:rFonts w:hint="eastAsia" w:ascii="Times New Roman" w:hAnsi="Times New Roman" w:eastAsia="仿宋_GB2312"/>
          <w:sz w:val="30"/>
          <w:lang w:val="en-US" w:eastAsia="zh-CN"/>
        </w:rPr>
        <w:t>190</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502.08</w:t>
      </w:r>
      <w:r>
        <w:rPr>
          <w:rFonts w:hint="eastAsia" w:ascii="仿宋_GB2312" w:hAnsi="Times New Roman" w:eastAsia="仿宋_GB2312"/>
          <w:sz w:val="30"/>
        </w:rPr>
        <w:t>元，支出决算为</w:t>
      </w:r>
      <w:r>
        <w:rPr>
          <w:rFonts w:hint="eastAsia" w:ascii="Times New Roman" w:hAnsi="Times New Roman" w:eastAsia="仿宋_GB2312"/>
          <w:sz w:val="30"/>
          <w:lang w:val="en-US" w:eastAsia="zh-CN"/>
        </w:rPr>
        <w:t>196</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094.5</w:t>
      </w:r>
      <w:r>
        <w:rPr>
          <w:rFonts w:hint="eastAsia" w:ascii="仿宋_GB2312" w:hAnsi="Times New Roman" w:eastAsia="仿宋_GB2312"/>
          <w:sz w:val="30"/>
        </w:rPr>
        <w:t>元，完成年初预算的</w:t>
      </w:r>
      <w:r>
        <w:rPr>
          <w:rFonts w:hint="eastAsia" w:ascii="Times New Roman" w:hAnsi="Times New Roman" w:eastAsia="仿宋_GB2312" w:cs="Times New Roman"/>
          <w:sz w:val="30"/>
          <w:szCs w:val="30"/>
          <w:lang w:val="en-US" w:eastAsia="zh-CN"/>
        </w:rPr>
        <w:t>102.94</w:t>
      </w:r>
      <w:r>
        <w:rPr>
          <w:rFonts w:hint="eastAsia" w:ascii="Times New Roman" w:hAnsi="Times New Roman" w:eastAsia="仿宋_GB2312" w:cs="Times New Roman"/>
          <w:sz w:val="30"/>
          <w:szCs w:val="30"/>
        </w:rPr>
        <w:t>%</w:t>
      </w:r>
      <w:r>
        <w:rPr>
          <w:rFonts w:hint="eastAsia" w:ascii="仿宋_GB2312" w:hAnsi="Times New Roman" w:eastAsia="仿宋_GB2312"/>
          <w:sz w:val="30"/>
        </w:rPr>
        <w:t>，决算数</w:t>
      </w:r>
      <w:r>
        <w:rPr>
          <w:rFonts w:hint="eastAsia" w:ascii="仿宋_GB2312" w:hAnsi="Times New Roman" w:eastAsia="仿宋_GB2312"/>
          <w:sz w:val="30"/>
          <w:lang w:eastAsia="zh-CN"/>
        </w:rPr>
        <w:t>大</w:t>
      </w:r>
      <w:r>
        <w:rPr>
          <w:rFonts w:hint="eastAsia" w:ascii="仿宋_GB2312" w:hAnsi="Times New Roman" w:eastAsia="仿宋_GB2312"/>
          <w:sz w:val="30"/>
        </w:rPr>
        <w:t>于年初预算数的主要原因是</w:t>
      </w:r>
      <w:r>
        <w:rPr>
          <w:rFonts w:hint="eastAsia" w:ascii="仿宋_GB2312" w:hAnsi="Times New Roman" w:eastAsia="仿宋_GB2312"/>
          <w:sz w:val="30"/>
          <w:lang w:val="en-US" w:eastAsia="zh-CN"/>
        </w:rPr>
        <w:t>2023年</w:t>
      </w:r>
      <w:r>
        <w:rPr>
          <w:rFonts w:hint="eastAsia" w:ascii="Times New Roman" w:hAnsi="Times New Roman" w:eastAsia="仿宋_GB2312"/>
          <w:sz w:val="30"/>
          <w:lang w:val="en-US" w:eastAsia="zh-CN"/>
        </w:rPr>
        <w:t>新招用1名在职人员、新调入1名在职人员。</w:t>
      </w:r>
    </w:p>
    <w:p>
      <w:pPr>
        <w:numPr>
          <w:ilvl w:val="0"/>
          <w:numId w:val="0"/>
        </w:numPr>
        <w:spacing w:line="600" w:lineRule="exact"/>
        <w:ind w:firstLine="600" w:firstLineChars="200"/>
        <w:rPr>
          <w:rFonts w:hint="eastAsia" w:ascii="仿宋_GB2312" w:hAnsi="Times New Roman" w:eastAsia="仿宋_GB2312"/>
          <w:sz w:val="30"/>
        </w:rPr>
      </w:pPr>
      <w:r>
        <w:rPr>
          <w:rFonts w:hint="eastAsia" w:ascii="仿宋_GB2312" w:hAnsi="Times New Roman" w:eastAsia="仿宋_GB2312"/>
          <w:sz w:val="30"/>
        </w:rPr>
        <w:t>2.</w:t>
      </w:r>
      <w:r>
        <w:rPr>
          <w:rFonts w:hint="default" w:ascii="Times New Roman" w:hAnsi="Times New Roman" w:eastAsia="仿宋_GB2312"/>
          <w:sz w:val="30"/>
        </w:rPr>
        <w:t xml:space="preserve"> </w:t>
      </w:r>
      <w:r>
        <w:rPr>
          <w:rFonts w:hint="eastAsia" w:ascii="Times New Roman" w:hAnsi="Times New Roman" w:eastAsia="仿宋_GB2312"/>
          <w:sz w:val="30"/>
        </w:rPr>
        <w:t>社会保障和就业支出</w:t>
      </w:r>
      <w:r>
        <w:rPr>
          <w:rFonts w:hint="eastAsia" w:ascii="仿宋_GB2312" w:hAnsi="Times New Roman" w:eastAsia="仿宋_GB2312"/>
          <w:sz w:val="30"/>
        </w:rPr>
        <w:t>（类）行政事业单位养老支出（款）机关事业单位职业年金缴费支出（项）年初预算为</w:t>
      </w:r>
      <w:r>
        <w:rPr>
          <w:rFonts w:hint="eastAsia" w:ascii="Times New Roman" w:hAnsi="Times New Roman" w:eastAsia="仿宋_GB2312"/>
          <w:sz w:val="30"/>
          <w:lang w:val="en-US" w:eastAsia="zh-CN"/>
        </w:rPr>
        <w:t>95</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251.04</w:t>
      </w:r>
      <w:r>
        <w:rPr>
          <w:rFonts w:hint="eastAsia" w:ascii="仿宋_GB2312" w:hAnsi="Times New Roman" w:eastAsia="仿宋_GB2312"/>
          <w:sz w:val="30"/>
        </w:rPr>
        <w:t>元，支出决算为</w:t>
      </w:r>
      <w:r>
        <w:rPr>
          <w:rFonts w:hint="eastAsia" w:ascii="Times New Roman" w:hAnsi="Times New Roman" w:eastAsia="仿宋_GB2312"/>
          <w:sz w:val="30"/>
          <w:lang w:val="en-US" w:eastAsia="zh-CN"/>
        </w:rPr>
        <w:t>97</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976.32</w:t>
      </w:r>
      <w:r>
        <w:rPr>
          <w:rFonts w:hint="eastAsia" w:ascii="仿宋_GB2312" w:hAnsi="Times New Roman" w:eastAsia="仿宋_GB2312"/>
          <w:sz w:val="30"/>
        </w:rPr>
        <w:t>元，完成年初预算的</w:t>
      </w:r>
      <w:r>
        <w:rPr>
          <w:rFonts w:hint="eastAsia" w:ascii="Times New Roman" w:hAnsi="Times New Roman" w:eastAsia="仿宋_GB2312"/>
          <w:sz w:val="30"/>
          <w:lang w:val="en-US" w:eastAsia="zh-CN"/>
        </w:rPr>
        <w:t>102.86</w:t>
      </w:r>
      <w:r>
        <w:rPr>
          <w:rFonts w:hint="eastAsia" w:ascii="仿宋_GB2312" w:hAnsi="Times New Roman" w:eastAsia="仿宋_GB2312"/>
          <w:sz w:val="30"/>
        </w:rPr>
        <w:t>%，决算数</w:t>
      </w:r>
      <w:r>
        <w:rPr>
          <w:rFonts w:hint="eastAsia" w:ascii="仿宋_GB2312" w:hAnsi="Times New Roman" w:eastAsia="仿宋_GB2312"/>
          <w:sz w:val="30"/>
          <w:lang w:eastAsia="zh-CN"/>
        </w:rPr>
        <w:t>大</w:t>
      </w:r>
      <w:r>
        <w:rPr>
          <w:rFonts w:hint="eastAsia" w:ascii="仿宋_GB2312" w:hAnsi="Times New Roman" w:eastAsia="仿宋_GB2312"/>
          <w:sz w:val="30"/>
        </w:rPr>
        <w:t>于年初预算数的主要原因是</w:t>
      </w:r>
      <w:r>
        <w:rPr>
          <w:rFonts w:hint="eastAsia" w:ascii="仿宋_GB2312" w:hAnsi="Times New Roman" w:eastAsia="仿宋_GB2312"/>
          <w:sz w:val="30"/>
          <w:lang w:val="en-US" w:eastAsia="zh-CN"/>
        </w:rPr>
        <w:t>2023年</w:t>
      </w:r>
      <w:r>
        <w:rPr>
          <w:rFonts w:hint="eastAsia" w:ascii="Times New Roman" w:hAnsi="Times New Roman" w:eastAsia="仿宋_GB2312"/>
          <w:sz w:val="30"/>
          <w:lang w:val="en-US" w:eastAsia="zh-CN"/>
        </w:rPr>
        <w:t>新招用1名在职人员、新调入1名在职人员。</w:t>
      </w:r>
    </w:p>
    <w:p>
      <w:pPr>
        <w:numPr>
          <w:ilvl w:val="0"/>
          <w:numId w:val="0"/>
        </w:numPr>
        <w:spacing w:line="600" w:lineRule="exact"/>
        <w:ind w:firstLine="600" w:firstLineChars="200"/>
        <w:rPr>
          <w:rFonts w:hint="eastAsia" w:ascii="仿宋_GB2312" w:hAnsi="Times New Roman" w:eastAsia="仿宋_GB2312"/>
          <w:sz w:val="30"/>
        </w:rPr>
      </w:pPr>
      <w:r>
        <w:rPr>
          <w:rFonts w:hint="eastAsia" w:ascii="仿宋_GB2312" w:hAnsi="Times New Roman" w:eastAsia="仿宋_GB2312"/>
          <w:sz w:val="30"/>
        </w:rPr>
        <w:t>3.</w:t>
      </w:r>
      <w:r>
        <w:rPr>
          <w:rFonts w:hint="default" w:ascii="Times New Roman" w:hAnsi="Times New Roman" w:eastAsia="仿宋_GB2312"/>
          <w:sz w:val="30"/>
        </w:rPr>
        <w:t xml:space="preserve"> </w:t>
      </w:r>
      <w:r>
        <w:rPr>
          <w:rFonts w:hint="eastAsia" w:ascii="Times New Roman" w:hAnsi="Times New Roman" w:eastAsia="仿宋_GB2312"/>
          <w:sz w:val="30"/>
        </w:rPr>
        <w:t>社会保障和就业支出</w:t>
      </w:r>
      <w:r>
        <w:rPr>
          <w:rFonts w:hint="eastAsia" w:ascii="仿宋_GB2312" w:hAnsi="Times New Roman" w:eastAsia="仿宋_GB2312"/>
          <w:sz w:val="30"/>
        </w:rPr>
        <w:t>（类）残疾人事业（款）行政运行（项）年初预算为</w:t>
      </w:r>
      <w:r>
        <w:rPr>
          <w:rFonts w:hint="eastAsia" w:ascii="Times New Roman" w:hAnsi="Times New Roman" w:eastAsia="仿宋_GB2312"/>
          <w:sz w:val="30"/>
          <w:lang w:val="en-US" w:eastAsia="zh-CN"/>
        </w:rPr>
        <w:t>2</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033</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146.47</w:t>
      </w:r>
      <w:r>
        <w:rPr>
          <w:rFonts w:hint="eastAsia" w:ascii="仿宋_GB2312" w:hAnsi="Times New Roman" w:eastAsia="仿宋_GB2312"/>
          <w:sz w:val="30"/>
        </w:rPr>
        <w:t>元，支出决算为</w:t>
      </w:r>
      <w:r>
        <w:rPr>
          <w:rFonts w:hint="eastAsia" w:ascii="Times New Roman" w:hAnsi="Times New Roman" w:eastAsia="仿宋_GB2312"/>
          <w:sz w:val="30"/>
          <w:lang w:val="en-US" w:eastAsia="zh-CN"/>
        </w:rPr>
        <w:t>2</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430</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211.84</w:t>
      </w:r>
      <w:r>
        <w:rPr>
          <w:rFonts w:hint="eastAsia" w:ascii="仿宋_GB2312" w:hAnsi="Times New Roman" w:eastAsia="仿宋_GB2312"/>
          <w:sz w:val="30"/>
        </w:rPr>
        <w:t>元，完成年初预算的</w:t>
      </w:r>
      <w:r>
        <w:rPr>
          <w:rFonts w:hint="eastAsia" w:ascii="Times New Roman" w:hAnsi="Times New Roman" w:eastAsia="仿宋_GB2312"/>
          <w:sz w:val="30"/>
          <w:lang w:val="en-US" w:eastAsia="zh-CN"/>
        </w:rPr>
        <w:t>119.53</w:t>
      </w:r>
      <w:r>
        <w:rPr>
          <w:rFonts w:hint="eastAsia" w:ascii="仿宋_GB2312" w:hAnsi="Times New Roman" w:eastAsia="仿宋_GB2312"/>
          <w:sz w:val="30"/>
        </w:rPr>
        <w:t>%，决算数</w:t>
      </w:r>
      <w:r>
        <w:rPr>
          <w:rFonts w:hint="eastAsia" w:ascii="仿宋_GB2312" w:hAnsi="Times New Roman" w:eastAsia="仿宋_GB2312"/>
          <w:sz w:val="30"/>
          <w:lang w:eastAsia="zh-CN"/>
        </w:rPr>
        <w:t>大</w:t>
      </w:r>
      <w:r>
        <w:rPr>
          <w:rFonts w:hint="eastAsia" w:ascii="仿宋_GB2312" w:hAnsi="Times New Roman" w:eastAsia="仿宋_GB2312"/>
          <w:sz w:val="30"/>
        </w:rPr>
        <w:t>于年初预算数的主要原因是</w:t>
      </w:r>
      <w:r>
        <w:rPr>
          <w:rFonts w:hint="eastAsia" w:ascii="仿宋_GB2312" w:hAnsi="Times New Roman" w:eastAsia="仿宋_GB2312"/>
          <w:sz w:val="30"/>
          <w:lang w:val="en-US" w:eastAsia="zh-CN"/>
        </w:rPr>
        <w:t>2023年</w:t>
      </w:r>
      <w:r>
        <w:rPr>
          <w:rFonts w:hint="eastAsia" w:ascii="Times New Roman" w:hAnsi="Times New Roman" w:eastAsia="仿宋_GB2312"/>
          <w:sz w:val="30"/>
          <w:lang w:val="en-US" w:eastAsia="zh-CN"/>
        </w:rPr>
        <w:t>新招用1名在职人员、新调入1名在职人员。</w:t>
      </w:r>
    </w:p>
    <w:p>
      <w:pPr>
        <w:numPr>
          <w:ilvl w:val="0"/>
          <w:numId w:val="0"/>
        </w:numPr>
        <w:spacing w:line="600" w:lineRule="exact"/>
        <w:ind w:firstLine="600" w:firstLineChars="200"/>
        <w:rPr>
          <w:rFonts w:hint="eastAsia" w:ascii="仿宋_GB2312" w:hAnsi="Times New Roman" w:eastAsia="仿宋_GB2312"/>
          <w:sz w:val="30"/>
        </w:rPr>
      </w:pPr>
      <w:r>
        <w:rPr>
          <w:rFonts w:hint="eastAsia" w:ascii="仿宋_GB2312" w:hAnsi="Times New Roman" w:eastAsia="仿宋_GB2312"/>
          <w:sz w:val="30"/>
        </w:rPr>
        <w:t>4.</w:t>
      </w:r>
      <w:r>
        <w:rPr>
          <w:rFonts w:hint="default" w:ascii="Times New Roman" w:hAnsi="Times New Roman" w:eastAsia="仿宋_GB2312"/>
          <w:sz w:val="30"/>
        </w:rPr>
        <w:t xml:space="preserve"> </w:t>
      </w:r>
      <w:r>
        <w:rPr>
          <w:rFonts w:hint="eastAsia" w:ascii="Times New Roman" w:hAnsi="Times New Roman" w:eastAsia="仿宋_GB2312"/>
          <w:sz w:val="30"/>
        </w:rPr>
        <w:t>卫生健康支出</w:t>
      </w:r>
      <w:r>
        <w:rPr>
          <w:rFonts w:hint="eastAsia" w:ascii="仿宋_GB2312" w:hAnsi="Times New Roman" w:eastAsia="仿宋_GB2312"/>
          <w:sz w:val="30"/>
        </w:rPr>
        <w:t>（类）行政事业单位医疗（款）行政单位医疗（项）年初预算为</w:t>
      </w:r>
      <w:r>
        <w:rPr>
          <w:rFonts w:hint="eastAsia" w:ascii="Times New Roman" w:hAnsi="Times New Roman" w:eastAsia="仿宋_GB2312"/>
          <w:sz w:val="30"/>
          <w:lang w:val="en-US" w:eastAsia="zh-CN"/>
        </w:rPr>
        <w:t>119</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063.80</w:t>
      </w:r>
      <w:r>
        <w:rPr>
          <w:rFonts w:hint="eastAsia" w:ascii="仿宋_GB2312" w:hAnsi="Times New Roman" w:eastAsia="仿宋_GB2312"/>
          <w:sz w:val="30"/>
        </w:rPr>
        <w:t>元，支出决算为</w:t>
      </w:r>
      <w:r>
        <w:rPr>
          <w:rFonts w:hint="default" w:ascii="Times New Roman" w:hAnsi="Times New Roman" w:eastAsia="仿宋_GB2312"/>
          <w:sz w:val="30"/>
        </w:rPr>
        <w:t>124</w:t>
      </w:r>
      <w:r>
        <w:rPr>
          <w:rFonts w:hint="eastAsia" w:ascii="Times New Roman" w:hAnsi="Times New Roman" w:eastAsia="仿宋_GB2312" w:cs="Times New Roman"/>
          <w:sz w:val="30"/>
          <w:szCs w:val="30"/>
        </w:rPr>
        <w:t>,</w:t>
      </w:r>
      <w:r>
        <w:rPr>
          <w:rFonts w:hint="default" w:ascii="Times New Roman" w:hAnsi="Times New Roman" w:eastAsia="仿宋_GB2312"/>
          <w:sz w:val="30"/>
        </w:rPr>
        <w:t>097.32</w:t>
      </w:r>
      <w:r>
        <w:rPr>
          <w:rFonts w:hint="eastAsia" w:ascii="仿宋_GB2312" w:hAnsi="Times New Roman" w:eastAsia="仿宋_GB2312"/>
          <w:sz w:val="30"/>
        </w:rPr>
        <w:t>元，完成年初预算的</w:t>
      </w:r>
      <w:r>
        <w:rPr>
          <w:rFonts w:hint="eastAsia" w:ascii="Times New Roman" w:hAnsi="Times New Roman" w:eastAsia="仿宋_GB2312"/>
          <w:sz w:val="30"/>
          <w:lang w:val="en-US" w:eastAsia="zh-CN"/>
        </w:rPr>
        <w:t>104.23</w:t>
      </w:r>
      <w:r>
        <w:rPr>
          <w:rFonts w:hint="eastAsia" w:ascii="仿宋_GB2312" w:hAnsi="Times New Roman" w:eastAsia="仿宋_GB2312"/>
          <w:sz w:val="30"/>
        </w:rPr>
        <w:t>%，决算数</w:t>
      </w:r>
      <w:r>
        <w:rPr>
          <w:rFonts w:hint="eastAsia" w:ascii="仿宋_GB2312" w:hAnsi="Times New Roman" w:eastAsia="仿宋_GB2312"/>
          <w:sz w:val="30"/>
          <w:lang w:eastAsia="zh-CN"/>
        </w:rPr>
        <w:t>大</w:t>
      </w:r>
      <w:r>
        <w:rPr>
          <w:rFonts w:hint="eastAsia" w:ascii="仿宋_GB2312" w:hAnsi="Times New Roman" w:eastAsia="仿宋_GB2312"/>
          <w:sz w:val="30"/>
        </w:rPr>
        <w:t>于年初预算数的主要原因是</w:t>
      </w:r>
      <w:r>
        <w:rPr>
          <w:rFonts w:hint="eastAsia" w:ascii="仿宋_GB2312" w:hAnsi="Times New Roman" w:eastAsia="仿宋_GB2312"/>
          <w:sz w:val="30"/>
          <w:lang w:val="en-US" w:eastAsia="zh-CN"/>
        </w:rPr>
        <w:t>2023年</w:t>
      </w:r>
      <w:r>
        <w:rPr>
          <w:rFonts w:hint="eastAsia" w:ascii="Times New Roman" w:hAnsi="Times New Roman" w:eastAsia="仿宋_GB2312"/>
          <w:sz w:val="30"/>
          <w:lang w:val="en-US" w:eastAsia="zh-CN"/>
        </w:rPr>
        <w:t>新招用1名在职人员、新调入1名在职人员。</w:t>
      </w:r>
    </w:p>
    <w:p>
      <w:pPr>
        <w:numPr>
          <w:ilvl w:val="0"/>
          <w:numId w:val="0"/>
        </w:numPr>
        <w:spacing w:line="600" w:lineRule="exact"/>
        <w:ind w:firstLine="600" w:firstLineChars="200"/>
        <w:rPr>
          <w:rFonts w:hint="default" w:ascii="Times New Roman" w:hAnsi="Times New Roman" w:eastAsia="仿宋_GB2312"/>
          <w:sz w:val="30"/>
        </w:rPr>
      </w:pPr>
      <w:r>
        <w:rPr>
          <w:rFonts w:hint="eastAsia" w:ascii="仿宋_GB2312" w:hAnsi="Times New Roman" w:eastAsia="仿宋_GB2312"/>
          <w:sz w:val="30"/>
        </w:rPr>
        <w:t>5.</w:t>
      </w:r>
      <w:r>
        <w:rPr>
          <w:rFonts w:hint="default" w:ascii="Times New Roman" w:hAnsi="Times New Roman" w:eastAsia="仿宋_GB2312"/>
          <w:sz w:val="30"/>
        </w:rPr>
        <w:t xml:space="preserve"> </w:t>
      </w:r>
      <w:r>
        <w:rPr>
          <w:rFonts w:hint="eastAsia" w:ascii="Times New Roman" w:hAnsi="Times New Roman" w:eastAsia="仿宋_GB2312"/>
          <w:sz w:val="30"/>
        </w:rPr>
        <w:t>卫生健康支出</w:t>
      </w:r>
      <w:r>
        <w:rPr>
          <w:rFonts w:hint="eastAsia" w:ascii="仿宋_GB2312" w:hAnsi="Times New Roman" w:eastAsia="仿宋_GB2312"/>
          <w:sz w:val="30"/>
        </w:rPr>
        <w:t>（类）行政事业单位医疗（款）公务员医疗补助（项）年初预算为</w:t>
      </w:r>
      <w:r>
        <w:rPr>
          <w:rFonts w:hint="eastAsia" w:ascii="Times New Roman" w:hAnsi="Times New Roman" w:eastAsia="仿宋_GB2312"/>
          <w:sz w:val="30"/>
          <w:lang w:val="en-US" w:eastAsia="zh-CN"/>
        </w:rPr>
        <w:t>23</w:t>
      </w:r>
      <w:r>
        <w:rPr>
          <w:rFonts w:hint="eastAsia" w:ascii="Times New Roman" w:hAnsi="Times New Roman" w:eastAsia="仿宋_GB2312" w:cs="Times New Roman"/>
          <w:sz w:val="30"/>
          <w:szCs w:val="30"/>
        </w:rPr>
        <w:t>,</w:t>
      </w:r>
      <w:r>
        <w:rPr>
          <w:rFonts w:hint="eastAsia" w:ascii="Times New Roman" w:hAnsi="Times New Roman" w:eastAsia="仿宋_GB2312"/>
          <w:sz w:val="30"/>
          <w:lang w:val="en-US" w:eastAsia="zh-CN"/>
        </w:rPr>
        <w:t>812.76</w:t>
      </w:r>
      <w:r>
        <w:rPr>
          <w:rFonts w:hint="eastAsia" w:ascii="仿宋_GB2312" w:hAnsi="Times New Roman" w:eastAsia="仿宋_GB2312"/>
          <w:sz w:val="30"/>
        </w:rPr>
        <w:t>元，支出决算为</w:t>
      </w:r>
      <w:r>
        <w:rPr>
          <w:rFonts w:hint="default" w:ascii="Times New Roman" w:hAnsi="Times New Roman" w:eastAsia="仿宋_GB2312"/>
          <w:sz w:val="30"/>
        </w:rPr>
        <w:t>24</w:t>
      </w:r>
      <w:r>
        <w:rPr>
          <w:rFonts w:hint="eastAsia" w:ascii="Times New Roman" w:hAnsi="Times New Roman" w:eastAsia="仿宋_GB2312" w:cs="Times New Roman"/>
          <w:sz w:val="30"/>
          <w:szCs w:val="30"/>
        </w:rPr>
        <w:t>,</w:t>
      </w:r>
      <w:r>
        <w:rPr>
          <w:rFonts w:hint="default" w:ascii="Times New Roman" w:hAnsi="Times New Roman" w:eastAsia="仿宋_GB2312"/>
          <w:sz w:val="30"/>
        </w:rPr>
        <w:t>824.08</w:t>
      </w:r>
      <w:r>
        <w:rPr>
          <w:rFonts w:hint="eastAsia" w:ascii="仿宋_GB2312" w:hAnsi="Times New Roman" w:eastAsia="仿宋_GB2312"/>
          <w:sz w:val="30"/>
        </w:rPr>
        <w:t>元，完成年初预算的</w:t>
      </w:r>
      <w:r>
        <w:rPr>
          <w:rFonts w:hint="eastAsia" w:ascii="Times New Roman" w:hAnsi="Times New Roman" w:eastAsia="仿宋_GB2312"/>
          <w:sz w:val="30"/>
          <w:lang w:val="en-US" w:eastAsia="zh-CN"/>
        </w:rPr>
        <w:t>104.25</w:t>
      </w:r>
      <w:r>
        <w:rPr>
          <w:rFonts w:hint="eastAsia" w:ascii="仿宋_GB2312" w:hAnsi="Times New Roman" w:eastAsia="仿宋_GB2312"/>
          <w:sz w:val="30"/>
        </w:rPr>
        <w:t>%，决算数</w:t>
      </w:r>
      <w:r>
        <w:rPr>
          <w:rFonts w:hint="eastAsia" w:ascii="仿宋_GB2312" w:hAnsi="Times New Roman" w:eastAsia="仿宋_GB2312"/>
          <w:sz w:val="30"/>
          <w:lang w:eastAsia="zh-CN"/>
        </w:rPr>
        <w:t>大</w:t>
      </w:r>
      <w:r>
        <w:rPr>
          <w:rFonts w:hint="eastAsia" w:ascii="仿宋_GB2312" w:hAnsi="Times New Roman" w:eastAsia="仿宋_GB2312"/>
          <w:sz w:val="30"/>
        </w:rPr>
        <w:t>于年初预算数的主要原因是</w:t>
      </w:r>
      <w:r>
        <w:rPr>
          <w:rFonts w:hint="eastAsia" w:ascii="仿宋_GB2312" w:hAnsi="Times New Roman" w:eastAsia="仿宋_GB2312"/>
          <w:sz w:val="30"/>
          <w:lang w:val="en-US" w:eastAsia="zh-CN"/>
        </w:rPr>
        <w:t>2023年</w:t>
      </w:r>
      <w:r>
        <w:rPr>
          <w:rFonts w:hint="eastAsia" w:ascii="Times New Roman" w:hAnsi="Times New Roman" w:eastAsia="仿宋_GB2312"/>
          <w:sz w:val="30"/>
          <w:lang w:val="en-US" w:eastAsia="zh-CN"/>
        </w:rPr>
        <w:t>新招用1名在职人员、新调入1名在职人员。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天津市河东区残疾人联合会(本级)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2,873,204.06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年度相比增加521,695.63元，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2023年新调入1名在职人员、新招录1名在职人员、2022年新招录人员转正，相应基本支出较上年增多。</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2,675,088.24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基本工资、津贴补贴、奖金、机关事业单位基本养老保险缴费、职业年金缴费、职工基本医疗保险缴费、公务员医疗补助缴费、其他社会保障缴费、住房公积金、其他工资福利支出、退休费、奖励金。</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198,115.82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办公费、手续费、电费、邮电费、取暖费、差旅费、工会经费、福利费、其他交通费用。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天津市河东区残疾人联合会(本级)2023年度无政府性基金预算财政拨款收入、支出和结转结余。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天津市河东区残疾人联合会(本级)2023年度无国有资本经营预算财政拨款收入、支出和结转结余。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w:t>
      </w:r>
      <w:bookmarkStart w:id="0" w:name="_GoBack"/>
      <w:bookmarkEnd w:id="0"/>
      <w:r>
        <w:rPr>
          <w:rFonts w:hint="eastAsia" w:ascii="Times New Roman" w:hAnsi="Times New Roman" w:eastAsia="仿宋_GB2312" w:cs="仿宋_GB2312"/>
          <w:sz w:val="30"/>
          <w:szCs w:val="30"/>
          <w:highlight w:val="none"/>
          <w:lang w:eastAsia="zh-CN"/>
        </w:rPr>
        <w:t>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天津市河东区残疾人联合会(本级)</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198,115.82</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年增加35,756.48元，增长22.02</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2023年新调入1名在职人员、新招录1名在职人员、2022年新招录1名人员转正，相应机关运行经费支出较上年增多。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天津市河东区残疾人联合会</w:t>
      </w:r>
      <w:r>
        <w:rPr>
          <w:rFonts w:hint="eastAsia" w:ascii="Times New Roman" w:hAnsi="Times New Roman" w:eastAsia="仿宋_GB2312" w:cs="Times New Roman"/>
          <w:kern w:val="0"/>
          <w:sz w:val="30"/>
          <w:szCs w:val="30"/>
        </w:rPr>
        <w:t>(本级)</w:t>
      </w:r>
      <w:r>
        <w:rPr>
          <w:rFonts w:hint="eastAsia" w:ascii="Times New Roman" w:hAnsi="Times New Roman" w:eastAsia="仿宋_GB2312" w:cs="仿宋_GB2312"/>
          <w:sz w:val="30"/>
          <w:szCs w:val="30"/>
        </w:rPr>
        <w:t>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天津市河东区残疾人联合会</w:t>
      </w:r>
      <w:r>
        <w:rPr>
          <w:rFonts w:hint="eastAsia" w:ascii="Times New Roman" w:hAnsi="Times New Roman" w:eastAsia="仿宋_GB2312" w:cs="Times New Roman"/>
          <w:kern w:val="0"/>
          <w:sz w:val="30"/>
          <w:szCs w:val="30"/>
        </w:rPr>
        <w:t>(本级)</w:t>
      </w:r>
      <w:r>
        <w:rPr>
          <w:rFonts w:hint="eastAsia" w:ascii="Times New Roman" w:hAnsi="Times New Roman" w:eastAsia="仿宋_GB2312" w:cs="仿宋_GB2312"/>
          <w:sz w:val="30"/>
          <w:szCs w:val="30"/>
        </w:rPr>
        <w:t>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本部门</w:t>
      </w:r>
      <w:r>
        <w:rPr>
          <w:rFonts w:hint="eastAsia" w:ascii="Times New Roman" w:hAnsi="Times New Roman" w:eastAsia="仿宋_GB2312" w:cs="仿宋_GB2312"/>
          <w:sz w:val="30"/>
          <w:szCs w:val="30"/>
        </w:rPr>
        <w:t>2023年度没有项目支出，无需开展绩效自评。</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天津市河东区残疾人联合会</w:t>
      </w:r>
      <w:r>
        <w:rPr>
          <w:rFonts w:hint="eastAsia" w:ascii="Times New Roman" w:hAnsi="Times New Roman" w:eastAsia="仿宋_GB2312" w:cs="仿宋_GB2312"/>
          <w:sz w:val="30"/>
          <w:szCs w:val="30"/>
          <w:lang w:eastAsia="zh-CN"/>
        </w:rPr>
        <w:t>（本级）</w:t>
      </w:r>
      <w:r>
        <w:rPr>
          <w:rFonts w:hint="eastAsia" w:ascii="Times New Roman" w:hAnsi="Times New Roman" w:eastAsia="仿宋_GB2312" w:cs="仿宋_GB2312"/>
          <w:sz w:val="30"/>
          <w:szCs w:val="30"/>
        </w:rPr>
        <w:t>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E2452"/>
    <w:multiLevelType w:val="singleLevel"/>
    <w:tmpl w:val="9E3E245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027AF"/>
    <w:rsid w:val="00013A12"/>
    <w:rsid w:val="0002687D"/>
    <w:rsid w:val="00047C6F"/>
    <w:rsid w:val="000528EE"/>
    <w:rsid w:val="000719FD"/>
    <w:rsid w:val="000B5C71"/>
    <w:rsid w:val="000D4B98"/>
    <w:rsid w:val="00100916"/>
    <w:rsid w:val="00127EFA"/>
    <w:rsid w:val="00142888"/>
    <w:rsid w:val="00152EEB"/>
    <w:rsid w:val="00153077"/>
    <w:rsid w:val="00167CB7"/>
    <w:rsid w:val="001A0E4F"/>
    <w:rsid w:val="001B5C3C"/>
    <w:rsid w:val="001C0399"/>
    <w:rsid w:val="001D587E"/>
    <w:rsid w:val="002124F6"/>
    <w:rsid w:val="00235F63"/>
    <w:rsid w:val="00264B59"/>
    <w:rsid w:val="002A4997"/>
    <w:rsid w:val="002E6086"/>
    <w:rsid w:val="00302490"/>
    <w:rsid w:val="003227B2"/>
    <w:rsid w:val="0035100E"/>
    <w:rsid w:val="003536BE"/>
    <w:rsid w:val="003B25FB"/>
    <w:rsid w:val="004A482F"/>
    <w:rsid w:val="004F39BF"/>
    <w:rsid w:val="005062D7"/>
    <w:rsid w:val="005175E6"/>
    <w:rsid w:val="00525157"/>
    <w:rsid w:val="005349A2"/>
    <w:rsid w:val="00546D41"/>
    <w:rsid w:val="00575537"/>
    <w:rsid w:val="005D1367"/>
    <w:rsid w:val="005D3F56"/>
    <w:rsid w:val="0062716F"/>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4AEE"/>
    <w:rsid w:val="00977DCC"/>
    <w:rsid w:val="009820CF"/>
    <w:rsid w:val="00982A8B"/>
    <w:rsid w:val="009A7ED3"/>
    <w:rsid w:val="009D74D7"/>
    <w:rsid w:val="00A518C2"/>
    <w:rsid w:val="00A57AE7"/>
    <w:rsid w:val="00AF71AE"/>
    <w:rsid w:val="00B33C70"/>
    <w:rsid w:val="00B75228"/>
    <w:rsid w:val="00B811F1"/>
    <w:rsid w:val="00B81B9F"/>
    <w:rsid w:val="00BC763A"/>
    <w:rsid w:val="00BC7D6F"/>
    <w:rsid w:val="00BD3CAC"/>
    <w:rsid w:val="00BF697A"/>
    <w:rsid w:val="00C417BE"/>
    <w:rsid w:val="00C52E77"/>
    <w:rsid w:val="00C65A44"/>
    <w:rsid w:val="00C76AC3"/>
    <w:rsid w:val="00C83EB4"/>
    <w:rsid w:val="00D27CFA"/>
    <w:rsid w:val="00D4505A"/>
    <w:rsid w:val="00D64C7A"/>
    <w:rsid w:val="00D65B41"/>
    <w:rsid w:val="00DC3234"/>
    <w:rsid w:val="00DC3CD0"/>
    <w:rsid w:val="00DD60B5"/>
    <w:rsid w:val="00E61113"/>
    <w:rsid w:val="00E7602B"/>
    <w:rsid w:val="00E964B2"/>
    <w:rsid w:val="00EA6549"/>
    <w:rsid w:val="00EF48FE"/>
    <w:rsid w:val="00F007FE"/>
    <w:rsid w:val="00F2109A"/>
    <w:rsid w:val="00FC3F9E"/>
    <w:rsid w:val="01772BF9"/>
    <w:rsid w:val="017D4A3B"/>
    <w:rsid w:val="01A10E80"/>
    <w:rsid w:val="029D518A"/>
    <w:rsid w:val="03311B3F"/>
    <w:rsid w:val="03901927"/>
    <w:rsid w:val="05CA273A"/>
    <w:rsid w:val="05E55C53"/>
    <w:rsid w:val="069A035E"/>
    <w:rsid w:val="07267E44"/>
    <w:rsid w:val="07425D24"/>
    <w:rsid w:val="07A23238"/>
    <w:rsid w:val="085D1644"/>
    <w:rsid w:val="09860D43"/>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603FEF"/>
    <w:rsid w:val="118916FB"/>
    <w:rsid w:val="1221675E"/>
    <w:rsid w:val="12C34799"/>
    <w:rsid w:val="12D93FBD"/>
    <w:rsid w:val="13463246"/>
    <w:rsid w:val="142D4C1F"/>
    <w:rsid w:val="14EA627A"/>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9A52F6"/>
    <w:rsid w:val="1CCA277E"/>
    <w:rsid w:val="1DFB572F"/>
    <w:rsid w:val="1E0C4DB8"/>
    <w:rsid w:val="1EC5396A"/>
    <w:rsid w:val="1EFB0588"/>
    <w:rsid w:val="20DB5BFD"/>
    <w:rsid w:val="21365D81"/>
    <w:rsid w:val="21556D90"/>
    <w:rsid w:val="21C24E94"/>
    <w:rsid w:val="21D73FEC"/>
    <w:rsid w:val="21FF3E50"/>
    <w:rsid w:val="23736675"/>
    <w:rsid w:val="24B227A0"/>
    <w:rsid w:val="25BA7C7E"/>
    <w:rsid w:val="2666570F"/>
    <w:rsid w:val="26DB4B05"/>
    <w:rsid w:val="271B299E"/>
    <w:rsid w:val="27DD7C53"/>
    <w:rsid w:val="27EB455D"/>
    <w:rsid w:val="283649F8"/>
    <w:rsid w:val="284E3F62"/>
    <w:rsid w:val="28612632"/>
    <w:rsid w:val="295923D3"/>
    <w:rsid w:val="2A924D25"/>
    <w:rsid w:val="2BC20F83"/>
    <w:rsid w:val="2C75741B"/>
    <w:rsid w:val="2C800474"/>
    <w:rsid w:val="2C8F0671"/>
    <w:rsid w:val="2D5A0475"/>
    <w:rsid w:val="2DA05507"/>
    <w:rsid w:val="2DDF5A8A"/>
    <w:rsid w:val="2E487134"/>
    <w:rsid w:val="2E8C3709"/>
    <w:rsid w:val="2F146650"/>
    <w:rsid w:val="2FA13000"/>
    <w:rsid w:val="2FC74096"/>
    <w:rsid w:val="2FF951BC"/>
    <w:rsid w:val="307A24E3"/>
    <w:rsid w:val="307A6987"/>
    <w:rsid w:val="30BB5227"/>
    <w:rsid w:val="313F372D"/>
    <w:rsid w:val="31DD6F53"/>
    <w:rsid w:val="32146967"/>
    <w:rsid w:val="32443D30"/>
    <w:rsid w:val="32672F3B"/>
    <w:rsid w:val="33032C66"/>
    <w:rsid w:val="332D3FC0"/>
    <w:rsid w:val="33AC4A40"/>
    <w:rsid w:val="35297340"/>
    <w:rsid w:val="354D7E20"/>
    <w:rsid w:val="35747E49"/>
    <w:rsid w:val="35823AFA"/>
    <w:rsid w:val="358C1096"/>
    <w:rsid w:val="35B6328D"/>
    <w:rsid w:val="35F44AE6"/>
    <w:rsid w:val="36144696"/>
    <w:rsid w:val="36580FD3"/>
    <w:rsid w:val="381E22EE"/>
    <w:rsid w:val="39C76ADD"/>
    <w:rsid w:val="3AF76503"/>
    <w:rsid w:val="3B0209DD"/>
    <w:rsid w:val="3B0C198B"/>
    <w:rsid w:val="3B483C6E"/>
    <w:rsid w:val="3B776F10"/>
    <w:rsid w:val="3B7C7A57"/>
    <w:rsid w:val="3B8E1539"/>
    <w:rsid w:val="3D600CB3"/>
    <w:rsid w:val="3DA624DC"/>
    <w:rsid w:val="3E426F14"/>
    <w:rsid w:val="3EB42189"/>
    <w:rsid w:val="3EC62D97"/>
    <w:rsid w:val="3EEF0B4C"/>
    <w:rsid w:val="3EF16375"/>
    <w:rsid w:val="3F023592"/>
    <w:rsid w:val="3F2006FA"/>
    <w:rsid w:val="40CF0629"/>
    <w:rsid w:val="40FB1AA0"/>
    <w:rsid w:val="4137238C"/>
    <w:rsid w:val="41CC0838"/>
    <w:rsid w:val="43612B5A"/>
    <w:rsid w:val="43805C0B"/>
    <w:rsid w:val="43B835F7"/>
    <w:rsid w:val="44552CED"/>
    <w:rsid w:val="44EB17AA"/>
    <w:rsid w:val="45094C36"/>
    <w:rsid w:val="45770A2E"/>
    <w:rsid w:val="45984C48"/>
    <w:rsid w:val="47727F60"/>
    <w:rsid w:val="47AD6CB6"/>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961236"/>
    <w:rsid w:val="53C102A5"/>
    <w:rsid w:val="54380029"/>
    <w:rsid w:val="54A61249"/>
    <w:rsid w:val="54F16968"/>
    <w:rsid w:val="55AC416B"/>
    <w:rsid w:val="55D56B90"/>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1713F"/>
    <w:rsid w:val="643C1F0A"/>
    <w:rsid w:val="644D16E1"/>
    <w:rsid w:val="64925346"/>
    <w:rsid w:val="654D2EBE"/>
    <w:rsid w:val="654E5711"/>
    <w:rsid w:val="656942F9"/>
    <w:rsid w:val="65B558C0"/>
    <w:rsid w:val="665D659A"/>
    <w:rsid w:val="667274BD"/>
    <w:rsid w:val="66BC2A82"/>
    <w:rsid w:val="672E57FA"/>
    <w:rsid w:val="68200AB4"/>
    <w:rsid w:val="68C169D0"/>
    <w:rsid w:val="6A5D4BD0"/>
    <w:rsid w:val="6ADE0E41"/>
    <w:rsid w:val="6B4F5D3F"/>
    <w:rsid w:val="6B963EB9"/>
    <w:rsid w:val="6BBB51FE"/>
    <w:rsid w:val="6BF54B38"/>
    <w:rsid w:val="6C054650"/>
    <w:rsid w:val="6C1D5E3D"/>
    <w:rsid w:val="6CF70A69"/>
    <w:rsid w:val="6CFE17CB"/>
    <w:rsid w:val="6D5E0469"/>
    <w:rsid w:val="6D854C1A"/>
    <w:rsid w:val="6DDC19D2"/>
    <w:rsid w:val="6E080CF4"/>
    <w:rsid w:val="6EB34837"/>
    <w:rsid w:val="70180DF5"/>
    <w:rsid w:val="704716DB"/>
    <w:rsid w:val="708C6A78"/>
    <w:rsid w:val="70E84C6C"/>
    <w:rsid w:val="70FE35D3"/>
    <w:rsid w:val="71600CA6"/>
    <w:rsid w:val="719A566B"/>
    <w:rsid w:val="7260119C"/>
    <w:rsid w:val="72701CEB"/>
    <w:rsid w:val="72B3615B"/>
    <w:rsid w:val="73724CC1"/>
    <w:rsid w:val="7455465F"/>
    <w:rsid w:val="75AB44BA"/>
    <w:rsid w:val="79B7155B"/>
    <w:rsid w:val="79DC07A5"/>
    <w:rsid w:val="7ACA53E2"/>
    <w:rsid w:val="7B143565"/>
    <w:rsid w:val="7BAA5BA5"/>
    <w:rsid w:val="7CDC3F0D"/>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911</Words>
  <Characters>5199</Characters>
  <Lines>43</Lines>
  <Paragraphs>12</Paragraphs>
  <TotalTime>1</TotalTime>
  <ScaleCrop>false</ScaleCrop>
  <LinksUpToDate>false</LinksUpToDate>
  <CharactersWithSpaces>6098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213-back</cp:lastModifiedBy>
  <dcterms:modified xsi:type="dcterms:W3CDTF">2024-08-21T06:41:08Z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A44E0A178634409BBBA50D5636087390_13</vt:lpwstr>
  </property>
</Properties>
</file>