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69" w:rsidRDefault="00F57469" w:rsidP="00F57469">
      <w:pPr>
        <w:pStyle w:val="a3"/>
        <w:wordWrap w:val="0"/>
        <w:spacing w:before="0" w:beforeAutospacing="0" w:after="0" w:afterAutospacing="0" w:line="624" w:lineRule="atLeast"/>
        <w:jc w:val="center"/>
        <w:rPr>
          <w:rFonts w:ascii="simsun" w:hAnsi="simsun" w:hint="eastAsia"/>
          <w:color w:val="000000"/>
          <w:sz w:val="18"/>
          <w:szCs w:val="18"/>
        </w:rPr>
      </w:pPr>
      <w:r>
        <w:rPr>
          <w:rFonts w:ascii="黑体" w:eastAsia="黑体" w:hAnsi="黑体" w:hint="eastAsia"/>
          <w:b/>
          <w:bCs/>
          <w:color w:val="000000"/>
          <w:sz w:val="54"/>
          <w:szCs w:val="54"/>
        </w:rPr>
        <w:t>天津市河东区房产服务中心</w:t>
      </w:r>
      <w:r>
        <w:rPr>
          <w:rFonts w:ascii="simsun" w:hAnsi="simsun"/>
          <w:color w:val="000000"/>
          <w:sz w:val="52"/>
          <w:szCs w:val="52"/>
        </w:rPr>
        <w:t> </w:t>
      </w:r>
    </w:p>
    <w:p w:rsidR="00F57469" w:rsidRDefault="00F57469" w:rsidP="00F57469">
      <w:pPr>
        <w:pStyle w:val="a3"/>
        <w:wordWrap w:val="0"/>
        <w:spacing w:before="0" w:beforeAutospacing="0" w:after="0" w:afterAutospacing="0" w:line="624" w:lineRule="atLeast"/>
        <w:jc w:val="center"/>
        <w:rPr>
          <w:rFonts w:ascii="simsun" w:hAnsi="simsun" w:hint="eastAsia"/>
          <w:color w:val="000000"/>
          <w:sz w:val="18"/>
          <w:szCs w:val="18"/>
        </w:rPr>
      </w:pPr>
      <w:r>
        <w:rPr>
          <w:rFonts w:ascii="黑体" w:eastAsia="黑体" w:hAnsi="黑体" w:hint="eastAsia"/>
          <w:b/>
          <w:bCs/>
          <w:color w:val="000000"/>
          <w:sz w:val="52"/>
          <w:szCs w:val="52"/>
        </w:rPr>
        <w:t>2024年单位预算</w:t>
      </w:r>
      <w:r>
        <w:rPr>
          <w:rFonts w:ascii="simsun" w:hAnsi="simsun"/>
          <w:color w:val="000000"/>
          <w:sz w:val="52"/>
          <w:szCs w:val="52"/>
        </w:rPr>
        <w:t> </w:t>
      </w:r>
    </w:p>
    <w:p w:rsidR="00F57469" w:rsidRDefault="00F57469" w:rsidP="00F57469">
      <w:pPr>
        <w:pStyle w:val="a3"/>
        <w:wordWrap w:val="0"/>
        <w:spacing w:before="0" w:beforeAutospacing="0" w:after="0" w:afterAutospacing="0" w:line="936" w:lineRule="atLeast"/>
        <w:jc w:val="center"/>
        <w:rPr>
          <w:rFonts w:ascii="simsun" w:hAnsi="simsun" w:hint="eastAsia"/>
          <w:color w:val="000000"/>
          <w:sz w:val="18"/>
          <w:szCs w:val="18"/>
        </w:rPr>
      </w:pPr>
      <w:r>
        <w:rPr>
          <w:rFonts w:ascii="黑体" w:eastAsia="黑体" w:hAnsi="黑体" w:hint="eastAsia"/>
          <w:b/>
          <w:bCs/>
          <w:color w:val="000000"/>
          <w:sz w:val="52"/>
          <w:szCs w:val="52"/>
        </w:rPr>
        <w:br/>
      </w:r>
      <w:r>
        <w:rPr>
          <w:rFonts w:ascii="simsun" w:hAnsi="simsun"/>
          <w:color w:val="000000"/>
          <w:sz w:val="52"/>
          <w:szCs w:val="52"/>
        </w:rPr>
        <w:t> </w:t>
      </w:r>
    </w:p>
    <w:p w:rsidR="00F57469" w:rsidRDefault="00F57469" w:rsidP="00F57469">
      <w:pPr>
        <w:pStyle w:val="a3"/>
        <w:wordWrap w:val="0"/>
        <w:spacing w:before="0" w:beforeAutospacing="0" w:after="0" w:afterAutospacing="0" w:line="600" w:lineRule="atLeast"/>
        <w:jc w:val="center"/>
        <w:rPr>
          <w:rFonts w:ascii="simsun" w:hAnsi="simsun" w:hint="eastAsia"/>
          <w:color w:val="000000"/>
          <w:sz w:val="18"/>
          <w:szCs w:val="18"/>
        </w:rPr>
      </w:pPr>
      <w:r>
        <w:rPr>
          <w:rFonts w:ascii="黑体" w:eastAsia="黑体" w:hAnsi="黑体" w:hint="eastAsia"/>
          <w:color w:val="000000"/>
          <w:sz w:val="44"/>
          <w:szCs w:val="44"/>
        </w:rPr>
        <w:t>目</w:t>
      </w:r>
      <w:r>
        <w:rPr>
          <w:rFonts w:ascii="Calibri" w:eastAsia="黑体" w:hAnsi="Calibri" w:cs="Calibri"/>
          <w:color w:val="000000"/>
          <w:sz w:val="44"/>
          <w:szCs w:val="44"/>
        </w:rPr>
        <w:t>   </w:t>
      </w:r>
      <w:r>
        <w:rPr>
          <w:rFonts w:ascii="黑体" w:eastAsia="黑体" w:hAnsi="黑体" w:hint="eastAsia"/>
          <w:color w:val="000000"/>
          <w:sz w:val="44"/>
          <w:szCs w:val="44"/>
        </w:rPr>
        <w:t>录</w:t>
      </w:r>
      <w:r>
        <w:rPr>
          <w:rFonts w:ascii="simsun" w:hAnsi="simsun"/>
          <w:color w:val="000000"/>
          <w:sz w:val="44"/>
          <w:szCs w:val="44"/>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Times New Roman" w:hAnsi="Times New Roman" w:cs="Times New Roman"/>
          <w:color w:val="000000"/>
          <w:sz w:val="21"/>
          <w:szCs w:val="21"/>
        </w:rPr>
        <w:t> </w:t>
      </w:r>
      <w:r>
        <w:rPr>
          <w:rFonts w:ascii="simsun" w:hAnsi="simsun"/>
          <w:color w:val="000000"/>
          <w:sz w:val="30"/>
          <w:szCs w:val="30"/>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b/>
          <w:bCs/>
          <w:color w:val="000000"/>
          <w:sz w:val="32"/>
          <w:szCs w:val="32"/>
        </w:rPr>
        <w:t>第一部分</w:t>
      </w:r>
      <w:r>
        <w:rPr>
          <w:rFonts w:ascii="仿宋_GB2312" w:eastAsia="仿宋_GB2312" w:hAnsi="simsun" w:hint="eastAsia"/>
          <w:b/>
          <w:bCs/>
          <w:color w:val="000000"/>
          <w:sz w:val="32"/>
          <w:szCs w:val="32"/>
        </w:rPr>
        <w:t>  </w:t>
      </w:r>
      <w:r>
        <w:rPr>
          <w:rFonts w:ascii="仿宋_GB2312" w:eastAsia="仿宋_GB2312" w:hAnsi="simsun" w:hint="eastAsia"/>
          <w:b/>
          <w:bCs/>
          <w:color w:val="000000"/>
          <w:sz w:val="32"/>
          <w:szCs w:val="32"/>
        </w:rPr>
        <w:t>概</w:t>
      </w:r>
      <w:r>
        <w:rPr>
          <w:rFonts w:ascii="仿宋_GB2312" w:eastAsia="仿宋_GB2312" w:hAnsi="simsun" w:hint="eastAsia"/>
          <w:b/>
          <w:bCs/>
          <w:color w:val="000000"/>
          <w:sz w:val="32"/>
          <w:szCs w:val="32"/>
        </w:rPr>
        <w:t> </w:t>
      </w:r>
      <w:r>
        <w:rPr>
          <w:rFonts w:ascii="仿宋_GB2312" w:eastAsia="仿宋_GB2312" w:hAnsi="simsun" w:hint="eastAsia"/>
          <w:b/>
          <w:bCs/>
          <w:color w:val="000000"/>
          <w:sz w:val="32"/>
          <w:szCs w:val="32"/>
        </w:rPr>
        <w:t>况</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一、主要职责</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二、机构设置情况</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b/>
          <w:bCs/>
          <w:color w:val="000000"/>
          <w:sz w:val="32"/>
          <w:szCs w:val="32"/>
        </w:rPr>
        <w:t>第二部分</w:t>
      </w:r>
      <w:r>
        <w:rPr>
          <w:rFonts w:ascii="仿宋_GB2312" w:eastAsia="仿宋_GB2312" w:hAnsi="simsun" w:hint="eastAsia"/>
          <w:b/>
          <w:bCs/>
          <w:color w:val="000000"/>
          <w:sz w:val="32"/>
          <w:szCs w:val="32"/>
        </w:rPr>
        <w:t>  </w:t>
      </w:r>
      <w:r>
        <w:rPr>
          <w:rFonts w:ascii="仿宋_GB2312" w:eastAsia="仿宋_GB2312" w:hAnsi="simsun" w:hint="eastAsia"/>
          <w:b/>
          <w:bCs/>
          <w:color w:val="000000"/>
          <w:sz w:val="32"/>
          <w:szCs w:val="32"/>
        </w:rPr>
        <w:t>2024年预算情况说明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一、关于收支总体情况表的说明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二、关于收入总体情况表的说明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三、关于支出总体情况表的说明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四、关于财政拨款收支总体情况表的说明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五、关于一般公共预算支出情况的说明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六、关于一般公共预算基本支出情况表的说明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七、关于一般公共预算“三公”经费支出情况表的说明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八、关于政府性基金预算支出情况表的说明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九、关于国有资本经营预算支出情况表的说明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十、其他重要事项的情况说明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b/>
          <w:bCs/>
          <w:color w:val="000000"/>
          <w:sz w:val="32"/>
          <w:szCs w:val="32"/>
        </w:rPr>
        <w:lastRenderedPageBreak/>
        <w:t>第三部分</w:t>
      </w:r>
      <w:r>
        <w:rPr>
          <w:rFonts w:ascii="仿宋_GB2312" w:eastAsia="仿宋_GB2312" w:hAnsi="simsun" w:hint="eastAsia"/>
          <w:b/>
          <w:bCs/>
          <w:color w:val="000000"/>
          <w:sz w:val="32"/>
          <w:szCs w:val="32"/>
        </w:rPr>
        <w:t>  </w:t>
      </w:r>
      <w:r>
        <w:rPr>
          <w:rFonts w:ascii="仿宋_GB2312" w:eastAsia="仿宋_GB2312" w:hAnsi="simsun" w:hint="eastAsia"/>
          <w:b/>
          <w:bCs/>
          <w:color w:val="000000"/>
          <w:sz w:val="32"/>
          <w:szCs w:val="32"/>
        </w:rPr>
        <w:t>名词解释</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b/>
          <w:bCs/>
          <w:color w:val="000000"/>
          <w:sz w:val="32"/>
          <w:szCs w:val="32"/>
        </w:rPr>
        <w:t>第四部分</w:t>
      </w:r>
      <w:r>
        <w:rPr>
          <w:rFonts w:ascii="仿宋_GB2312" w:eastAsia="仿宋_GB2312" w:hAnsi="simsun" w:hint="eastAsia"/>
          <w:b/>
          <w:bCs/>
          <w:color w:val="000000"/>
          <w:sz w:val="32"/>
          <w:szCs w:val="32"/>
        </w:rPr>
        <w:t>  </w:t>
      </w:r>
      <w:r>
        <w:rPr>
          <w:rFonts w:ascii="仿宋_GB2312" w:eastAsia="仿宋_GB2312" w:hAnsi="simsun" w:hint="eastAsia"/>
          <w:b/>
          <w:bCs/>
          <w:color w:val="000000"/>
          <w:sz w:val="32"/>
          <w:szCs w:val="32"/>
        </w:rPr>
        <w:t>2024年单位预算表</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一、单位收支总体情况表</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二、单位收入总体情况表</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三、单位支出总体情况表</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四、财政拨款收支总体情况表</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五、一般公共预算支出情况表</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六、一般公共预算基本支出情况表</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七、一般公共预算“三公”经费支出情况表</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八、政府性基金预算支出情况表</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九、国有资本经营预算支出情况表</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十、项目支出表</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仿宋_GB2312" w:eastAsia="仿宋_GB2312" w:hAnsi="simsun" w:hint="eastAsia"/>
          <w:color w:val="000000"/>
          <w:sz w:val="32"/>
          <w:szCs w:val="32"/>
        </w:rPr>
        <w:t>十一、关于空表的说明</w:t>
      </w:r>
      <w:r>
        <w:rPr>
          <w:rFonts w:ascii="仿宋_GB2312" w:eastAsia="仿宋_GB2312" w:hAnsi="simsun" w:hint="eastAsia"/>
          <w:color w:val="000000"/>
          <w:sz w:val="32"/>
          <w:szCs w:val="32"/>
        </w:rPr>
        <w:t>    </w:t>
      </w:r>
      <w:r>
        <w:rPr>
          <w:rFonts w:ascii="simsun" w:hAnsi="simsun"/>
          <w:color w:val="000000"/>
          <w:sz w:val="32"/>
          <w:szCs w:val="32"/>
        </w:rPr>
        <w:t> </w:t>
      </w:r>
    </w:p>
    <w:p w:rsidR="00F57469" w:rsidRDefault="00F57469" w:rsidP="00F57469">
      <w:pPr>
        <w:pStyle w:val="a3"/>
        <w:wordWrap w:val="0"/>
        <w:spacing w:before="0" w:beforeAutospacing="0" w:afterAutospacing="0" w:line="600" w:lineRule="atLeast"/>
        <w:rPr>
          <w:rFonts w:ascii="simsun" w:hAnsi="simsun" w:hint="eastAsia"/>
          <w:color w:val="000000"/>
          <w:sz w:val="18"/>
          <w:szCs w:val="18"/>
        </w:rPr>
      </w:pPr>
      <w:r>
        <w:rPr>
          <w:rFonts w:ascii="Times New Roman" w:hAnsi="Times New Roman" w:cs="Times New Roman"/>
          <w:color w:val="000000"/>
          <w:sz w:val="21"/>
          <w:szCs w:val="21"/>
        </w:rPr>
        <w:t> </w:t>
      </w:r>
      <w:r>
        <w:rPr>
          <w:rFonts w:ascii="simsun" w:hAnsi="simsun"/>
          <w:color w:val="000000"/>
          <w:sz w:val="32"/>
          <w:szCs w:val="32"/>
        </w:rPr>
        <w:t> </w:t>
      </w:r>
    </w:p>
    <w:p w:rsidR="00F57469" w:rsidRDefault="00F57469" w:rsidP="00F57469">
      <w:pPr>
        <w:pStyle w:val="a3"/>
        <w:wordWrap w:val="0"/>
        <w:spacing w:before="340" w:beforeAutospacing="0" w:after="330" w:afterAutospacing="0" w:line="600" w:lineRule="atLeast"/>
        <w:jc w:val="center"/>
        <w:rPr>
          <w:rFonts w:ascii="simsun" w:hAnsi="simsun" w:hint="eastAsia"/>
          <w:color w:val="000000"/>
          <w:sz w:val="18"/>
          <w:szCs w:val="18"/>
        </w:rPr>
      </w:pPr>
      <w:r>
        <w:rPr>
          <w:rFonts w:ascii="方正小标宋简体" w:eastAsia="方正小标宋简体" w:hAnsi="simsun" w:hint="eastAsia"/>
          <w:color w:val="000000"/>
          <w:sz w:val="52"/>
          <w:szCs w:val="52"/>
        </w:rPr>
        <w:t>第一部分</w:t>
      </w:r>
      <w:r>
        <w:rPr>
          <w:rFonts w:ascii="方正小标宋简体" w:eastAsia="方正小标宋简体" w:hAnsi="simsun" w:hint="eastAsia"/>
          <w:color w:val="000000"/>
          <w:sz w:val="52"/>
          <w:szCs w:val="52"/>
        </w:rPr>
        <w:t>  </w:t>
      </w:r>
      <w:r>
        <w:rPr>
          <w:rFonts w:ascii="方正小标宋简体" w:eastAsia="方正小标宋简体" w:hAnsi="simsun" w:hint="eastAsia"/>
          <w:color w:val="000000"/>
          <w:sz w:val="52"/>
          <w:szCs w:val="52"/>
        </w:rPr>
        <w:t>概</w:t>
      </w:r>
      <w:r>
        <w:rPr>
          <w:rFonts w:ascii="方正小标宋简体" w:eastAsia="方正小标宋简体" w:hAnsi="simsun" w:hint="eastAsia"/>
          <w:color w:val="000000"/>
          <w:sz w:val="52"/>
          <w:szCs w:val="52"/>
        </w:rPr>
        <w:t> </w:t>
      </w:r>
      <w:r>
        <w:rPr>
          <w:rFonts w:ascii="方正小标宋简体" w:eastAsia="方正小标宋简体" w:hAnsi="simsun" w:hint="eastAsia"/>
          <w:color w:val="000000"/>
          <w:sz w:val="52"/>
          <w:szCs w:val="52"/>
        </w:rPr>
        <w:t>况</w:t>
      </w:r>
      <w:r>
        <w:rPr>
          <w:rFonts w:ascii="simsun" w:hAnsi="simsun"/>
          <w:color w:val="000000"/>
          <w:sz w:val="52"/>
          <w:szCs w:val="52"/>
        </w:rPr>
        <w:t> </w:t>
      </w:r>
    </w:p>
    <w:p w:rsidR="00F57469" w:rsidRDefault="00F57469" w:rsidP="00F57469">
      <w:pPr>
        <w:pStyle w:val="a3"/>
        <w:wordWrap w:val="0"/>
        <w:spacing w:before="0" w:beforeAutospacing="0" w:after="0" w:afterAutospacing="0" w:line="600" w:lineRule="atLeast"/>
        <w:rPr>
          <w:rFonts w:ascii="simsun" w:hAnsi="simsun" w:hint="eastAsia"/>
          <w:color w:val="000000"/>
          <w:sz w:val="18"/>
          <w:szCs w:val="18"/>
        </w:rPr>
      </w:pPr>
      <w:r>
        <w:rPr>
          <w:rFonts w:ascii="Times New Roman" w:hAnsi="Times New Roman" w:cs="Times New Roman"/>
          <w:color w:val="000000"/>
          <w:sz w:val="21"/>
          <w:szCs w:val="21"/>
        </w:rPr>
        <w:t> </w:t>
      </w:r>
      <w:r>
        <w:rPr>
          <w:rFonts w:ascii="simsun" w:hAnsi="simsun"/>
          <w:color w:val="000000"/>
        </w:rPr>
        <w:t> </w:t>
      </w:r>
    </w:p>
    <w:p w:rsidR="00F57469" w:rsidRDefault="00F57469" w:rsidP="00F57469">
      <w:pPr>
        <w:pStyle w:val="a3"/>
        <w:wordWrap w:val="0"/>
        <w:spacing w:before="260" w:beforeAutospacing="0" w:after="260" w:afterAutospacing="0" w:line="600" w:lineRule="atLeast"/>
        <w:ind w:firstLine="643"/>
        <w:rPr>
          <w:rFonts w:ascii="simsun" w:hAnsi="simsun" w:hint="eastAsia"/>
          <w:color w:val="000000"/>
          <w:sz w:val="18"/>
          <w:szCs w:val="18"/>
        </w:rPr>
      </w:pPr>
      <w:r>
        <w:rPr>
          <w:rFonts w:ascii="黑体" w:eastAsia="黑体" w:hAnsi="黑体" w:hint="eastAsia"/>
          <w:b/>
          <w:bCs/>
          <w:color w:val="000000"/>
          <w:sz w:val="32"/>
          <w:szCs w:val="32"/>
        </w:rPr>
        <w:t>一、主要职责</w:t>
      </w:r>
      <w:r>
        <w:rPr>
          <w:rFonts w:ascii="simsun" w:hAnsi="simsun"/>
          <w:color w:val="000000"/>
          <w:sz w:val="32"/>
          <w:szCs w:val="32"/>
        </w:rPr>
        <w:t> </w:t>
      </w:r>
    </w:p>
    <w:p w:rsidR="00F57469" w:rsidRDefault="00F57469" w:rsidP="00F57469">
      <w:pPr>
        <w:pStyle w:val="a3"/>
        <w:wordWrap w:val="0"/>
        <w:spacing w:before="0" w:beforeAutospacing="0" w:after="0" w:afterAutospacing="0" w:line="580" w:lineRule="atLeast"/>
        <w:ind w:firstLine="640"/>
        <w:jc w:val="both"/>
        <w:rPr>
          <w:rFonts w:ascii="simsun" w:hAnsi="simsun" w:hint="eastAsia"/>
          <w:color w:val="000000"/>
          <w:sz w:val="18"/>
          <w:szCs w:val="18"/>
        </w:rPr>
      </w:pPr>
      <w:r>
        <w:rPr>
          <w:rFonts w:ascii="仿宋_GB2312" w:eastAsia="仿宋_GB2312" w:hAnsi="simsun" w:hint="eastAsia"/>
          <w:color w:val="000000"/>
          <w:sz w:val="33"/>
          <w:szCs w:val="33"/>
        </w:rPr>
        <w:t>1、天津市河东区房产服务中心承担区直管公房的经营和修缮管理等相关服务工作；</w:t>
      </w:r>
      <w:r>
        <w:rPr>
          <w:rFonts w:ascii="仿宋_GB2312" w:eastAsia="仿宋_GB2312" w:hAnsi="simsun" w:hint="eastAsia"/>
          <w:color w:val="000000"/>
          <w:sz w:val="33"/>
          <w:szCs w:val="33"/>
        </w:rPr>
        <w:br/>
      </w:r>
      <w:r w:rsidR="00B74DB5">
        <w:rPr>
          <w:rFonts w:ascii="仿宋_GB2312" w:eastAsia="仿宋_GB2312" w:hAnsi="simsun" w:hint="eastAsia"/>
          <w:color w:val="000000"/>
          <w:sz w:val="33"/>
          <w:szCs w:val="33"/>
        </w:rPr>
        <w:t xml:space="preserve">    </w:t>
      </w:r>
      <w:r>
        <w:rPr>
          <w:rFonts w:ascii="仿宋_GB2312" w:eastAsia="仿宋_GB2312" w:hAnsi="simsun" w:hint="eastAsia"/>
          <w:color w:val="000000"/>
          <w:sz w:val="33"/>
          <w:szCs w:val="33"/>
        </w:rPr>
        <w:t>2、天津市河东区房产服务中心承担区公用公房的经营</w:t>
      </w:r>
      <w:r>
        <w:rPr>
          <w:rFonts w:ascii="仿宋_GB2312" w:eastAsia="仿宋_GB2312" w:hAnsi="simsun" w:hint="eastAsia"/>
          <w:color w:val="000000"/>
          <w:sz w:val="33"/>
          <w:szCs w:val="33"/>
        </w:rPr>
        <w:lastRenderedPageBreak/>
        <w:t>和修缮管理等相关服务工作；</w:t>
      </w:r>
      <w:r>
        <w:rPr>
          <w:rFonts w:ascii="仿宋_GB2312" w:eastAsia="仿宋_GB2312" w:hAnsi="simsun" w:hint="eastAsia"/>
          <w:color w:val="000000"/>
          <w:sz w:val="33"/>
          <w:szCs w:val="33"/>
        </w:rPr>
        <w:br/>
        <w:t>3、天津市河东区房产服务中心承担区直管公房、公用公房的产籍管理相关事务性、辅助性工作；</w:t>
      </w:r>
      <w:r>
        <w:rPr>
          <w:rFonts w:ascii="仿宋_GB2312" w:eastAsia="仿宋_GB2312" w:hAnsi="simsun" w:hint="eastAsia"/>
          <w:color w:val="000000"/>
          <w:sz w:val="33"/>
          <w:szCs w:val="33"/>
        </w:rPr>
        <w:br/>
        <w:t>4、天津市河东区房产服务中心开展房屋接管、经营、修缮服务等相关业务活动；</w:t>
      </w:r>
      <w:r>
        <w:rPr>
          <w:rFonts w:ascii="仿宋_GB2312" w:eastAsia="仿宋_GB2312" w:hAnsi="simsun" w:hint="eastAsia"/>
          <w:color w:val="000000"/>
          <w:sz w:val="33"/>
          <w:szCs w:val="33"/>
        </w:rPr>
        <w:br/>
        <w:t>5、天津市河东区房产服务中心为房屋安全使用提供技术支持；</w:t>
      </w:r>
      <w:r>
        <w:rPr>
          <w:rFonts w:ascii="仿宋_GB2312" w:eastAsia="仿宋_GB2312" w:hAnsi="simsun" w:hint="eastAsia"/>
          <w:color w:val="000000"/>
          <w:sz w:val="33"/>
          <w:szCs w:val="33"/>
        </w:rPr>
        <w:br/>
        <w:t>6、天津市河东区房产服务中心承担区住建委交办的其他事项。</w:t>
      </w:r>
      <w:r>
        <w:rPr>
          <w:rFonts w:ascii="仿宋_GB2312" w:eastAsia="仿宋_GB2312" w:hAnsi="simsun" w:hint="eastAsia"/>
          <w:color w:val="000000"/>
          <w:sz w:val="33"/>
          <w:szCs w:val="33"/>
        </w:rPr>
        <w:br/>
      </w:r>
      <w:r>
        <w:rPr>
          <w:rFonts w:ascii="simsun" w:hAnsi="simsun"/>
          <w:color w:val="000000"/>
          <w:sz w:val="32"/>
          <w:szCs w:val="32"/>
        </w:rPr>
        <w:t> </w:t>
      </w:r>
    </w:p>
    <w:p w:rsidR="00F57469" w:rsidRDefault="00F57469" w:rsidP="00F57469">
      <w:pPr>
        <w:pStyle w:val="a3"/>
        <w:wordWrap w:val="0"/>
        <w:spacing w:before="260" w:beforeAutospacing="0" w:after="260" w:afterAutospacing="0" w:line="600" w:lineRule="atLeast"/>
        <w:ind w:firstLine="643"/>
        <w:rPr>
          <w:rFonts w:ascii="simsun" w:hAnsi="simsun" w:hint="eastAsia"/>
          <w:color w:val="000000"/>
          <w:sz w:val="18"/>
          <w:szCs w:val="18"/>
        </w:rPr>
      </w:pPr>
      <w:r>
        <w:rPr>
          <w:rFonts w:ascii="黑体" w:eastAsia="黑体" w:hAnsi="黑体" w:hint="eastAsia"/>
          <w:b/>
          <w:bCs/>
          <w:color w:val="000000"/>
          <w:sz w:val="32"/>
          <w:szCs w:val="32"/>
        </w:rPr>
        <w:t>二、机构设置情况</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640"/>
        <w:rPr>
          <w:rFonts w:ascii="simsun" w:hAnsi="simsun" w:hint="eastAsia"/>
          <w:color w:val="000000"/>
          <w:sz w:val="18"/>
          <w:szCs w:val="18"/>
        </w:rPr>
      </w:pPr>
      <w:r>
        <w:rPr>
          <w:rFonts w:ascii="仿宋_GB2312" w:eastAsia="仿宋_GB2312" w:hAnsi="simsun" w:hint="eastAsia"/>
          <w:color w:val="000000"/>
          <w:sz w:val="33"/>
          <w:szCs w:val="33"/>
        </w:rPr>
        <w:t>天津市河东区房产服务中心</w:t>
      </w:r>
      <w:r>
        <w:rPr>
          <w:rFonts w:ascii="仿宋_GB2312" w:eastAsia="仿宋_GB2312" w:hAnsi="simsun" w:hint="eastAsia"/>
          <w:color w:val="000000"/>
          <w:sz w:val="32"/>
          <w:szCs w:val="32"/>
        </w:rPr>
        <w:t>内设17个职能科室；下辖0个预算单位。</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jc w:val="both"/>
        <w:rPr>
          <w:rFonts w:ascii="simsun" w:hAnsi="simsun" w:hint="eastAsia"/>
          <w:color w:val="000000"/>
          <w:sz w:val="18"/>
          <w:szCs w:val="18"/>
        </w:rPr>
      </w:pPr>
      <w:r>
        <w:rPr>
          <w:rFonts w:ascii="仿宋_GB2312" w:eastAsia="仿宋_GB2312" w:hAnsi="simsun" w:hint="eastAsia"/>
          <w:color w:val="000000"/>
          <w:sz w:val="32"/>
          <w:szCs w:val="32"/>
        </w:rPr>
        <w:t>纳入</w:t>
      </w:r>
      <w:r>
        <w:rPr>
          <w:rFonts w:ascii="仿宋_GB2312" w:eastAsia="仿宋_GB2312" w:hAnsi="simsun" w:hint="eastAsia"/>
          <w:color w:val="000000"/>
          <w:sz w:val="33"/>
          <w:szCs w:val="33"/>
        </w:rPr>
        <w:t>天津市河东区房产服务中心</w:t>
      </w:r>
      <w:r>
        <w:rPr>
          <w:rFonts w:ascii="仿宋_GB2312" w:eastAsia="仿宋_GB2312" w:hAnsi="simsun" w:hint="eastAsia"/>
          <w:color w:val="000000"/>
          <w:sz w:val="32"/>
          <w:szCs w:val="32"/>
        </w:rPr>
        <w:t>2024年部门预算编制范围的预算单位包括：</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jc w:val="both"/>
        <w:rPr>
          <w:rFonts w:ascii="simsun" w:hAnsi="simsun" w:hint="eastAsia"/>
          <w:color w:val="000000"/>
          <w:sz w:val="18"/>
          <w:szCs w:val="18"/>
        </w:rPr>
      </w:pPr>
      <w:r>
        <w:rPr>
          <w:rFonts w:ascii="仿宋_GB2312" w:eastAsia="仿宋_GB2312" w:hAnsi="simsun" w:hint="eastAsia"/>
          <w:color w:val="000000"/>
          <w:sz w:val="30"/>
          <w:szCs w:val="30"/>
        </w:rPr>
        <w:br/>
      </w:r>
      <w:r>
        <w:rPr>
          <w:rFonts w:ascii="simsun" w:hAnsi="simsun"/>
          <w:color w:val="000000"/>
          <w:sz w:val="30"/>
          <w:szCs w:val="30"/>
        </w:rPr>
        <w:t> </w:t>
      </w:r>
    </w:p>
    <w:p w:rsidR="00F57469" w:rsidRDefault="00F57469" w:rsidP="00F57469">
      <w:pPr>
        <w:pStyle w:val="a3"/>
        <w:wordWrap w:val="0"/>
        <w:spacing w:before="340" w:beforeAutospacing="0" w:after="330" w:afterAutospacing="0" w:line="600" w:lineRule="atLeast"/>
        <w:jc w:val="center"/>
        <w:rPr>
          <w:rFonts w:ascii="simsun" w:hAnsi="simsun" w:hint="eastAsia"/>
          <w:color w:val="000000"/>
          <w:sz w:val="18"/>
          <w:szCs w:val="18"/>
        </w:rPr>
      </w:pPr>
      <w:r>
        <w:rPr>
          <w:rFonts w:ascii="方正小标宋简体" w:eastAsia="方正小标宋简体" w:hAnsi="simsun" w:hint="eastAsia"/>
          <w:color w:val="000000"/>
          <w:sz w:val="52"/>
          <w:szCs w:val="52"/>
        </w:rPr>
        <w:t>第二部分</w:t>
      </w:r>
      <w:r>
        <w:rPr>
          <w:rFonts w:ascii="方正小标宋简体" w:eastAsia="方正小标宋简体" w:hAnsi="simsun" w:hint="eastAsia"/>
          <w:color w:val="000000"/>
          <w:sz w:val="52"/>
          <w:szCs w:val="52"/>
        </w:rPr>
        <w:t>  </w:t>
      </w:r>
      <w:r>
        <w:rPr>
          <w:rFonts w:ascii="方正小标宋简体" w:eastAsia="方正小标宋简体" w:hAnsi="simsun" w:hint="eastAsia"/>
          <w:color w:val="000000"/>
          <w:spacing w:val="-40"/>
          <w:sz w:val="52"/>
          <w:szCs w:val="52"/>
        </w:rPr>
        <w:t>2024年预算情况说明</w:t>
      </w:r>
      <w:r>
        <w:rPr>
          <w:rFonts w:ascii="simsun" w:hAnsi="simsun"/>
          <w:color w:val="000000"/>
          <w:sz w:val="52"/>
          <w:szCs w:val="52"/>
        </w:rPr>
        <w:t> </w:t>
      </w:r>
    </w:p>
    <w:p w:rsidR="00F57469" w:rsidRDefault="00F57469" w:rsidP="00F57469">
      <w:pPr>
        <w:pStyle w:val="a3"/>
        <w:wordWrap w:val="0"/>
        <w:spacing w:before="0" w:beforeAutospacing="0" w:after="0" w:afterAutospacing="0" w:line="600" w:lineRule="atLeast"/>
        <w:ind w:firstLine="600"/>
        <w:rPr>
          <w:rFonts w:ascii="simsun" w:hAnsi="simsun" w:hint="eastAsia"/>
          <w:color w:val="000000"/>
          <w:sz w:val="18"/>
          <w:szCs w:val="18"/>
        </w:rPr>
      </w:pPr>
      <w:r>
        <w:rPr>
          <w:rFonts w:ascii="Times New Roman" w:hAnsi="Times New Roman" w:cs="Times New Roman"/>
          <w:color w:val="000000"/>
          <w:sz w:val="21"/>
          <w:szCs w:val="21"/>
        </w:rPr>
        <w:t> </w:t>
      </w:r>
      <w:r>
        <w:rPr>
          <w:rFonts w:ascii="simsun" w:hAnsi="simsun"/>
          <w:color w:val="000000"/>
          <w:sz w:val="30"/>
          <w:szCs w:val="30"/>
        </w:rPr>
        <w:t> </w:t>
      </w:r>
    </w:p>
    <w:p w:rsidR="00F57469" w:rsidRDefault="00F57469" w:rsidP="00F57469">
      <w:pPr>
        <w:pStyle w:val="a3"/>
        <w:wordWrap w:val="0"/>
        <w:spacing w:before="260" w:beforeAutospacing="0" w:after="260" w:afterAutospacing="0" w:line="600" w:lineRule="atLeast"/>
        <w:ind w:firstLine="640"/>
        <w:rPr>
          <w:rFonts w:ascii="simsun" w:hAnsi="simsun" w:hint="eastAsia"/>
          <w:color w:val="000000"/>
          <w:sz w:val="18"/>
          <w:szCs w:val="18"/>
        </w:rPr>
      </w:pPr>
      <w:r>
        <w:rPr>
          <w:rFonts w:ascii="黑体" w:eastAsia="黑体" w:hAnsi="黑体" w:hint="eastAsia"/>
          <w:color w:val="000000"/>
          <w:sz w:val="32"/>
          <w:szCs w:val="32"/>
        </w:rPr>
        <w:lastRenderedPageBreak/>
        <w:t>一、关于收支总体情况表的说明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160"/>
        <w:rPr>
          <w:rFonts w:ascii="simsun" w:hAnsi="simsun" w:hint="eastAsia"/>
          <w:color w:val="000000"/>
          <w:sz w:val="18"/>
          <w:szCs w:val="18"/>
        </w:rPr>
      </w:pPr>
      <w:r>
        <w:rPr>
          <w:rFonts w:ascii="仿宋_GB2312" w:eastAsia="仿宋_GB2312" w:hAnsi="simsun" w:hint="eastAsia"/>
          <w:color w:val="000000"/>
          <w:sz w:val="32"/>
          <w:szCs w:val="32"/>
        </w:rPr>
        <w:t>   </w:t>
      </w:r>
      <w:r>
        <w:rPr>
          <w:rFonts w:ascii="仿宋_GB2312" w:eastAsia="仿宋_GB2312" w:hAnsi="simsun" w:hint="eastAsia"/>
          <w:color w:val="000000"/>
          <w:sz w:val="32"/>
          <w:szCs w:val="32"/>
        </w:rPr>
        <w:t>按照综合预算的原则，</w:t>
      </w:r>
      <w:r>
        <w:rPr>
          <w:rFonts w:ascii="仿宋_GB2312" w:eastAsia="仿宋_GB2312" w:hAnsi="simsun" w:hint="eastAsia"/>
          <w:color w:val="000000"/>
          <w:sz w:val="33"/>
          <w:szCs w:val="33"/>
        </w:rPr>
        <w:t>天津市河东区房产服务中心</w:t>
      </w:r>
      <w:r>
        <w:rPr>
          <w:rFonts w:ascii="仿宋_GB2312" w:eastAsia="仿宋_GB2312" w:hAnsi="simsun" w:hint="eastAsia"/>
          <w:color w:val="000000"/>
          <w:sz w:val="32"/>
          <w:szCs w:val="32"/>
        </w:rPr>
        <w:t>所有收入和支出均纳入部门预算管理。收入包括：一般公共预算拨款收入</w:t>
      </w:r>
      <w:r>
        <w:rPr>
          <w:rFonts w:ascii="仿宋_GB2312" w:eastAsia="仿宋_GB2312" w:hAnsi="simsun" w:hint="eastAsia"/>
          <w:color w:val="000000"/>
          <w:sz w:val="33"/>
          <w:szCs w:val="33"/>
        </w:rPr>
        <w:t>713.234068</w:t>
      </w:r>
      <w:r>
        <w:rPr>
          <w:rFonts w:ascii="仿宋_GB2312" w:eastAsia="仿宋_GB2312" w:hAnsi="simsun" w:hint="eastAsia"/>
          <w:color w:val="000000"/>
          <w:sz w:val="32"/>
          <w:szCs w:val="32"/>
        </w:rPr>
        <w:t>万元、政府性基金预算拨款收入</w:t>
      </w:r>
      <w:r>
        <w:rPr>
          <w:rFonts w:ascii="仿宋_GB2312" w:eastAsia="仿宋_GB2312" w:hAnsi="simsun" w:hint="eastAsia"/>
          <w:color w:val="000000"/>
          <w:sz w:val="33"/>
          <w:szCs w:val="33"/>
        </w:rPr>
        <w:t>58.08</w:t>
      </w:r>
      <w:r>
        <w:rPr>
          <w:rFonts w:ascii="仿宋_GB2312" w:eastAsia="仿宋_GB2312" w:hAnsi="simsun" w:hint="eastAsia"/>
          <w:color w:val="000000"/>
          <w:sz w:val="32"/>
          <w:szCs w:val="32"/>
        </w:rPr>
        <w:t>万元、国有资本经营预算拨款收入</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万元、财政专户管理资金收入</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万元、事业收入</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万元、事业单位经营收入</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万元、上级补助收入0万元、附属单位上缴收入0万元、其他收入</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万元、上年结转结余</w:t>
      </w:r>
      <w:r>
        <w:rPr>
          <w:rFonts w:ascii="仿宋_GB2312" w:eastAsia="仿宋_GB2312" w:hAnsi="simsun" w:hint="eastAsia"/>
          <w:color w:val="000000"/>
          <w:sz w:val="33"/>
          <w:szCs w:val="33"/>
        </w:rPr>
        <w:t>161.6</w:t>
      </w:r>
      <w:r>
        <w:rPr>
          <w:rFonts w:ascii="仿宋_GB2312" w:eastAsia="仿宋_GB2312" w:hAnsi="simsun" w:hint="eastAsia"/>
          <w:color w:val="000000"/>
          <w:sz w:val="32"/>
          <w:szCs w:val="32"/>
        </w:rPr>
        <w:t>万元；支出包括：</w:t>
      </w:r>
      <w:r>
        <w:rPr>
          <w:rFonts w:ascii="仿宋_GB2312" w:eastAsia="仿宋_GB2312" w:hAnsi="simsun" w:hint="eastAsia"/>
          <w:color w:val="000000"/>
          <w:sz w:val="33"/>
          <w:szCs w:val="33"/>
        </w:rPr>
        <w:t>城乡社区支出712.294168万元、住房保障支出161.6万元、债务付息支出59.0199万元。天津市河东区房产服务中心</w:t>
      </w:r>
      <w:r>
        <w:rPr>
          <w:rFonts w:ascii="仿宋_GB2312" w:eastAsia="仿宋_GB2312" w:hAnsi="simsun" w:hint="eastAsia"/>
          <w:color w:val="000000"/>
          <w:sz w:val="32"/>
          <w:szCs w:val="32"/>
        </w:rPr>
        <w:t>2024年收支总预算</w:t>
      </w:r>
      <w:r>
        <w:rPr>
          <w:rFonts w:ascii="仿宋_GB2312" w:eastAsia="仿宋_GB2312" w:hAnsi="simsun" w:hint="eastAsia"/>
          <w:color w:val="000000"/>
          <w:sz w:val="33"/>
          <w:szCs w:val="33"/>
        </w:rPr>
        <w:t>932.914068</w:t>
      </w:r>
      <w:r>
        <w:rPr>
          <w:rFonts w:ascii="仿宋_GB2312" w:eastAsia="仿宋_GB2312" w:hAnsi="simsun" w:hint="eastAsia"/>
          <w:color w:val="000000"/>
          <w:sz w:val="32"/>
          <w:szCs w:val="32"/>
        </w:rPr>
        <w:t>万元。</w:t>
      </w:r>
      <w:r>
        <w:rPr>
          <w:rFonts w:ascii="simsun" w:hAnsi="simsun"/>
          <w:color w:val="000000"/>
          <w:sz w:val="32"/>
          <w:szCs w:val="32"/>
        </w:rPr>
        <w:t> </w:t>
      </w:r>
    </w:p>
    <w:p w:rsidR="00F57469" w:rsidRDefault="00F57469" w:rsidP="00F57469">
      <w:pPr>
        <w:pStyle w:val="a3"/>
        <w:wordWrap w:val="0"/>
        <w:spacing w:before="260" w:beforeAutospacing="0" w:after="260" w:afterAutospacing="0" w:line="600" w:lineRule="atLeast"/>
        <w:ind w:firstLine="640"/>
        <w:rPr>
          <w:rFonts w:ascii="simsun" w:hAnsi="simsun" w:hint="eastAsia"/>
          <w:color w:val="000000"/>
          <w:sz w:val="18"/>
          <w:szCs w:val="18"/>
        </w:rPr>
      </w:pPr>
      <w:r>
        <w:rPr>
          <w:rFonts w:ascii="黑体" w:eastAsia="黑体" w:hAnsi="黑体" w:hint="eastAsia"/>
          <w:color w:val="000000"/>
          <w:sz w:val="32"/>
          <w:szCs w:val="32"/>
        </w:rPr>
        <w:t>二、关于收入总体情况表的说明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640"/>
        <w:jc w:val="both"/>
        <w:rPr>
          <w:rFonts w:ascii="simsun" w:hAnsi="simsun" w:hint="eastAsia"/>
          <w:color w:val="000000"/>
          <w:sz w:val="18"/>
          <w:szCs w:val="18"/>
        </w:rPr>
      </w:pPr>
      <w:r>
        <w:rPr>
          <w:rFonts w:ascii="仿宋_GB2312" w:eastAsia="仿宋_GB2312" w:hAnsi="simsun" w:hint="eastAsia"/>
          <w:color w:val="000000"/>
          <w:sz w:val="33"/>
          <w:szCs w:val="33"/>
        </w:rPr>
        <w:t>天津市河东区房产服务中心</w:t>
      </w:r>
      <w:r>
        <w:rPr>
          <w:rFonts w:ascii="仿宋_GB2312" w:eastAsia="仿宋_GB2312" w:hAnsi="simsun" w:hint="eastAsia"/>
          <w:color w:val="000000"/>
          <w:sz w:val="32"/>
          <w:szCs w:val="32"/>
        </w:rPr>
        <w:t>2024年部门预算收入</w:t>
      </w:r>
      <w:r>
        <w:rPr>
          <w:rFonts w:ascii="仿宋_GB2312" w:eastAsia="仿宋_GB2312" w:hAnsi="simsun" w:hint="eastAsia"/>
          <w:color w:val="000000"/>
          <w:sz w:val="33"/>
          <w:szCs w:val="33"/>
        </w:rPr>
        <w:t>932.914068</w:t>
      </w:r>
      <w:r>
        <w:rPr>
          <w:rFonts w:ascii="仿宋_GB2312" w:eastAsia="仿宋_GB2312" w:hAnsi="simsun" w:hint="eastAsia"/>
          <w:color w:val="000000"/>
          <w:sz w:val="32"/>
          <w:szCs w:val="32"/>
        </w:rPr>
        <w:t>万元，与2023年预算相比</w:t>
      </w:r>
      <w:r>
        <w:rPr>
          <w:rFonts w:ascii="仿宋_GB2312" w:eastAsia="仿宋_GB2312" w:hAnsi="simsun" w:hint="eastAsia"/>
          <w:color w:val="000000"/>
          <w:sz w:val="33"/>
          <w:szCs w:val="33"/>
        </w:rPr>
        <w:t>减少76.959132</w:t>
      </w:r>
      <w:r>
        <w:rPr>
          <w:rFonts w:ascii="仿宋_GB2312" w:eastAsia="仿宋_GB2312" w:hAnsi="simsun" w:hint="eastAsia"/>
          <w:color w:val="000000"/>
          <w:sz w:val="32"/>
          <w:szCs w:val="32"/>
        </w:rPr>
        <w:t>万元，主要原因是</w:t>
      </w:r>
      <w:r>
        <w:rPr>
          <w:rFonts w:ascii="仿宋_GB2312" w:eastAsia="仿宋_GB2312" w:hAnsi="simsun" w:hint="eastAsia"/>
          <w:color w:val="000000"/>
          <w:sz w:val="33"/>
          <w:szCs w:val="33"/>
        </w:rPr>
        <w:t>项目收支减少</w:t>
      </w:r>
      <w:r>
        <w:rPr>
          <w:rFonts w:ascii="仿宋_GB2312" w:eastAsia="仿宋_GB2312" w:hAnsi="simsun" w:hint="eastAsia"/>
          <w:color w:val="000000"/>
          <w:sz w:val="32"/>
          <w:szCs w:val="32"/>
        </w:rPr>
        <w:t>。其中：上年结转结余</w:t>
      </w:r>
      <w:r>
        <w:rPr>
          <w:rFonts w:ascii="仿宋_GB2312" w:eastAsia="仿宋_GB2312" w:hAnsi="simsun" w:hint="eastAsia"/>
          <w:color w:val="000000"/>
          <w:sz w:val="33"/>
          <w:szCs w:val="33"/>
        </w:rPr>
        <w:t>161.6</w:t>
      </w:r>
      <w:r>
        <w:rPr>
          <w:rFonts w:ascii="仿宋_GB2312" w:eastAsia="仿宋_GB2312" w:hAnsi="simsun" w:hint="eastAsia"/>
          <w:color w:val="000000"/>
          <w:sz w:val="32"/>
          <w:szCs w:val="32"/>
        </w:rPr>
        <w:t>万元，占</w:t>
      </w:r>
      <w:r>
        <w:rPr>
          <w:rFonts w:ascii="仿宋_GB2312" w:eastAsia="仿宋_GB2312" w:hAnsi="simsun" w:hint="eastAsia"/>
          <w:color w:val="000000"/>
          <w:sz w:val="33"/>
          <w:szCs w:val="33"/>
        </w:rPr>
        <w:t>17.32</w:t>
      </w:r>
      <w:r>
        <w:rPr>
          <w:rFonts w:ascii="仿宋_GB2312" w:eastAsia="仿宋_GB2312" w:hAnsi="simsun" w:hint="eastAsia"/>
          <w:color w:val="000000"/>
          <w:sz w:val="32"/>
          <w:szCs w:val="32"/>
        </w:rPr>
        <w:t>%；一般公共预算</w:t>
      </w:r>
      <w:r>
        <w:rPr>
          <w:rFonts w:ascii="仿宋_GB2312" w:eastAsia="仿宋_GB2312" w:hAnsi="simsun" w:hint="eastAsia"/>
          <w:color w:val="000000"/>
          <w:sz w:val="33"/>
          <w:szCs w:val="33"/>
        </w:rPr>
        <w:t>713.234068</w:t>
      </w:r>
      <w:r>
        <w:rPr>
          <w:rFonts w:ascii="仿宋_GB2312" w:eastAsia="仿宋_GB2312" w:hAnsi="simsun" w:hint="eastAsia"/>
          <w:color w:val="000000"/>
          <w:sz w:val="32"/>
          <w:szCs w:val="32"/>
        </w:rPr>
        <w:t>万元，占</w:t>
      </w:r>
      <w:r>
        <w:rPr>
          <w:rFonts w:ascii="仿宋_GB2312" w:eastAsia="仿宋_GB2312" w:hAnsi="simsun" w:hint="eastAsia"/>
          <w:color w:val="000000"/>
          <w:sz w:val="33"/>
          <w:szCs w:val="33"/>
        </w:rPr>
        <w:t>76.45</w:t>
      </w:r>
      <w:r>
        <w:rPr>
          <w:rFonts w:ascii="仿宋_GB2312" w:eastAsia="仿宋_GB2312" w:hAnsi="simsun" w:hint="eastAsia"/>
          <w:color w:val="000000"/>
          <w:sz w:val="32"/>
          <w:szCs w:val="32"/>
        </w:rPr>
        <w:t>%；政府性基金预算</w:t>
      </w:r>
      <w:r>
        <w:rPr>
          <w:rFonts w:ascii="仿宋_GB2312" w:eastAsia="仿宋_GB2312" w:hAnsi="simsun" w:hint="eastAsia"/>
          <w:color w:val="000000"/>
          <w:sz w:val="33"/>
          <w:szCs w:val="33"/>
        </w:rPr>
        <w:t>58.08</w:t>
      </w:r>
      <w:r>
        <w:rPr>
          <w:rFonts w:ascii="仿宋_GB2312" w:eastAsia="仿宋_GB2312" w:hAnsi="simsun" w:hint="eastAsia"/>
          <w:color w:val="000000"/>
          <w:sz w:val="32"/>
          <w:szCs w:val="32"/>
        </w:rPr>
        <w:t>万元，占</w:t>
      </w:r>
      <w:r>
        <w:rPr>
          <w:rFonts w:ascii="仿宋_GB2312" w:eastAsia="仿宋_GB2312" w:hAnsi="simsun" w:hint="eastAsia"/>
          <w:color w:val="000000"/>
          <w:sz w:val="33"/>
          <w:szCs w:val="33"/>
        </w:rPr>
        <w:t>6.23</w:t>
      </w:r>
      <w:r>
        <w:rPr>
          <w:rFonts w:ascii="仿宋_GB2312" w:eastAsia="仿宋_GB2312" w:hAnsi="simsun" w:hint="eastAsia"/>
          <w:color w:val="000000"/>
          <w:sz w:val="32"/>
          <w:szCs w:val="32"/>
        </w:rPr>
        <w:t>%；国有资本经营预算</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万元，占</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w:t>
      </w:r>
      <w:r>
        <w:rPr>
          <w:rFonts w:ascii="仿宋_GB2312" w:eastAsia="仿宋_GB2312" w:hAnsi="simsun" w:hint="eastAsia"/>
          <w:color w:val="000000"/>
          <w:sz w:val="32"/>
          <w:szCs w:val="32"/>
        </w:rPr>
        <w:t> </w:t>
      </w:r>
      <w:r>
        <w:rPr>
          <w:rFonts w:ascii="仿宋_GB2312" w:eastAsia="仿宋_GB2312" w:hAnsi="simsun" w:hint="eastAsia"/>
          <w:color w:val="000000"/>
          <w:sz w:val="32"/>
          <w:szCs w:val="32"/>
        </w:rPr>
        <w:t>财政专户管理资金</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万元，占</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%；事业收入</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万元，占</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%；事业单位经营收入</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万元，占</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%；上级补助收入0万元，占0%；附属单位上缴收入0万元，占0%；其他收入</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万元，占</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w:t>
      </w:r>
      <w:r>
        <w:rPr>
          <w:rFonts w:ascii="simsun" w:hAnsi="simsun"/>
          <w:color w:val="000000"/>
          <w:sz w:val="32"/>
          <w:szCs w:val="32"/>
        </w:rPr>
        <w:t> </w:t>
      </w:r>
    </w:p>
    <w:p w:rsidR="00F57469" w:rsidRDefault="00F57469" w:rsidP="00F57469">
      <w:pPr>
        <w:pStyle w:val="a3"/>
        <w:wordWrap w:val="0"/>
        <w:spacing w:before="260" w:beforeAutospacing="0" w:after="260" w:afterAutospacing="0" w:line="600" w:lineRule="atLeast"/>
        <w:ind w:firstLine="640"/>
        <w:rPr>
          <w:rFonts w:ascii="simsun" w:hAnsi="simsun" w:hint="eastAsia"/>
          <w:color w:val="000000"/>
          <w:sz w:val="18"/>
          <w:szCs w:val="18"/>
        </w:rPr>
      </w:pPr>
      <w:r>
        <w:rPr>
          <w:rFonts w:ascii="黑体" w:eastAsia="黑体" w:hAnsi="黑体" w:hint="eastAsia"/>
          <w:color w:val="000000"/>
          <w:sz w:val="32"/>
          <w:szCs w:val="32"/>
        </w:rPr>
        <w:lastRenderedPageBreak/>
        <w:t>三、关于支出总体情况表的说明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640"/>
        <w:jc w:val="both"/>
        <w:rPr>
          <w:rFonts w:ascii="simsun" w:hAnsi="simsun" w:hint="eastAsia"/>
          <w:color w:val="000000"/>
          <w:sz w:val="18"/>
          <w:szCs w:val="18"/>
        </w:rPr>
      </w:pPr>
      <w:r>
        <w:rPr>
          <w:rFonts w:ascii="仿宋_GB2312" w:eastAsia="仿宋_GB2312" w:hAnsi="simsun" w:hint="eastAsia"/>
          <w:color w:val="000000"/>
          <w:sz w:val="33"/>
          <w:szCs w:val="33"/>
        </w:rPr>
        <w:t>天津市河东区房产服务中心</w:t>
      </w:r>
      <w:r>
        <w:rPr>
          <w:rFonts w:ascii="仿宋_GB2312" w:eastAsia="仿宋_GB2312" w:hAnsi="simsun" w:hint="eastAsia"/>
          <w:color w:val="000000"/>
          <w:sz w:val="32"/>
          <w:szCs w:val="32"/>
        </w:rPr>
        <w:t>2024年支出预算</w:t>
      </w:r>
      <w:r>
        <w:rPr>
          <w:rFonts w:ascii="仿宋_GB2312" w:eastAsia="仿宋_GB2312" w:hAnsi="simsun" w:hint="eastAsia"/>
          <w:color w:val="000000"/>
          <w:sz w:val="33"/>
          <w:szCs w:val="33"/>
        </w:rPr>
        <w:t>932.914068</w:t>
      </w:r>
      <w:r>
        <w:rPr>
          <w:rFonts w:ascii="仿宋_GB2312" w:eastAsia="仿宋_GB2312" w:hAnsi="simsun" w:hint="eastAsia"/>
          <w:color w:val="000000"/>
          <w:sz w:val="32"/>
          <w:szCs w:val="32"/>
        </w:rPr>
        <w:t>万元，与2023年预算相比</w:t>
      </w:r>
      <w:r>
        <w:rPr>
          <w:rFonts w:ascii="仿宋_GB2312" w:eastAsia="仿宋_GB2312" w:hAnsi="simsun" w:hint="eastAsia"/>
          <w:color w:val="000000"/>
          <w:sz w:val="33"/>
          <w:szCs w:val="33"/>
        </w:rPr>
        <w:t>减少76.959132</w:t>
      </w:r>
      <w:r>
        <w:rPr>
          <w:rFonts w:ascii="仿宋_GB2312" w:eastAsia="仿宋_GB2312" w:hAnsi="simsun" w:hint="eastAsia"/>
          <w:color w:val="000000"/>
          <w:sz w:val="32"/>
          <w:szCs w:val="32"/>
        </w:rPr>
        <w:t>万元，主要原因是</w:t>
      </w:r>
      <w:r>
        <w:rPr>
          <w:rFonts w:ascii="仿宋_GB2312" w:eastAsia="仿宋_GB2312" w:hAnsi="simsun" w:hint="eastAsia"/>
          <w:color w:val="000000"/>
          <w:sz w:val="33"/>
          <w:szCs w:val="33"/>
        </w:rPr>
        <w:t>老旧小区改造项目收支减少</w:t>
      </w:r>
      <w:r>
        <w:rPr>
          <w:rFonts w:ascii="仿宋_GB2312" w:eastAsia="仿宋_GB2312" w:hAnsi="simsun" w:hint="eastAsia"/>
          <w:color w:val="000000"/>
          <w:sz w:val="32"/>
          <w:szCs w:val="32"/>
        </w:rPr>
        <w:t>。其中：基本支出</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万元，占0.00%；项目支出</w:t>
      </w:r>
      <w:r>
        <w:rPr>
          <w:rFonts w:ascii="仿宋_GB2312" w:eastAsia="仿宋_GB2312" w:hAnsi="simsun" w:hint="eastAsia"/>
          <w:color w:val="000000"/>
          <w:sz w:val="33"/>
          <w:szCs w:val="33"/>
        </w:rPr>
        <w:t>932.914068</w:t>
      </w:r>
      <w:r>
        <w:rPr>
          <w:rFonts w:ascii="仿宋_GB2312" w:eastAsia="仿宋_GB2312" w:hAnsi="simsun" w:hint="eastAsia"/>
          <w:color w:val="000000"/>
          <w:sz w:val="32"/>
          <w:szCs w:val="32"/>
        </w:rPr>
        <w:t>万元，占100.00%；事业单位经营支出0万元，占0%；上缴上级支出0万元，占0%；对附属单位补助支出0万元，占0%。</w:t>
      </w:r>
      <w:r>
        <w:rPr>
          <w:rFonts w:ascii="仿宋_GB2312" w:eastAsia="仿宋_GB2312" w:hAnsi="simsun" w:hint="eastAsia"/>
          <w:color w:val="000000"/>
          <w:sz w:val="32"/>
          <w:szCs w:val="32"/>
        </w:rPr>
        <w:t> </w:t>
      </w:r>
      <w:r>
        <w:rPr>
          <w:rFonts w:ascii="simsun" w:hAnsi="simsun"/>
          <w:color w:val="000000"/>
          <w:sz w:val="32"/>
          <w:szCs w:val="32"/>
        </w:rPr>
        <w:t> </w:t>
      </w:r>
    </w:p>
    <w:p w:rsidR="00F57469" w:rsidRDefault="00F57469" w:rsidP="00F57469">
      <w:pPr>
        <w:pStyle w:val="a3"/>
        <w:wordWrap w:val="0"/>
        <w:spacing w:before="260" w:beforeAutospacing="0" w:after="260" w:afterAutospacing="0" w:line="600" w:lineRule="atLeast"/>
        <w:ind w:firstLine="640"/>
        <w:rPr>
          <w:rFonts w:ascii="simsun" w:hAnsi="simsun" w:hint="eastAsia"/>
          <w:color w:val="000000"/>
          <w:sz w:val="18"/>
          <w:szCs w:val="18"/>
        </w:rPr>
      </w:pPr>
      <w:r>
        <w:rPr>
          <w:rFonts w:ascii="黑体" w:eastAsia="黑体" w:hAnsi="黑体" w:hint="eastAsia"/>
          <w:color w:val="000000"/>
          <w:sz w:val="32"/>
          <w:szCs w:val="32"/>
        </w:rPr>
        <w:t>四、关于财政拨款收支总体情况表的说明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600"/>
        <w:jc w:val="both"/>
        <w:rPr>
          <w:rFonts w:ascii="simsun" w:hAnsi="simsun" w:hint="eastAsia"/>
          <w:color w:val="000000"/>
          <w:sz w:val="18"/>
          <w:szCs w:val="18"/>
        </w:rPr>
      </w:pPr>
      <w:r>
        <w:rPr>
          <w:rFonts w:ascii="仿宋_GB2312" w:eastAsia="仿宋_GB2312" w:hAnsi="simsun" w:hint="eastAsia"/>
          <w:color w:val="000000"/>
          <w:sz w:val="33"/>
          <w:szCs w:val="33"/>
        </w:rPr>
        <w:t>天津市河东区房产服务中心</w:t>
      </w:r>
      <w:r>
        <w:rPr>
          <w:rFonts w:ascii="仿宋_GB2312" w:eastAsia="仿宋_GB2312" w:hAnsi="simsun" w:hint="eastAsia"/>
          <w:color w:val="000000"/>
          <w:sz w:val="32"/>
          <w:szCs w:val="32"/>
        </w:rPr>
        <w:t>2024年财政拨款收入预算</w:t>
      </w:r>
      <w:r>
        <w:rPr>
          <w:rFonts w:ascii="仿宋_GB2312" w:eastAsia="仿宋_GB2312" w:hAnsi="simsun" w:hint="eastAsia"/>
          <w:color w:val="000000"/>
          <w:sz w:val="33"/>
          <w:szCs w:val="33"/>
        </w:rPr>
        <w:t>932.914068</w:t>
      </w:r>
      <w:r>
        <w:rPr>
          <w:rFonts w:ascii="仿宋_GB2312" w:eastAsia="仿宋_GB2312" w:hAnsi="simsun" w:hint="eastAsia"/>
          <w:color w:val="000000"/>
          <w:sz w:val="32"/>
          <w:szCs w:val="32"/>
        </w:rPr>
        <w:t>万元，与2023年预算相比</w:t>
      </w:r>
      <w:r>
        <w:rPr>
          <w:rFonts w:ascii="仿宋_GB2312" w:eastAsia="仿宋_GB2312" w:hAnsi="simsun" w:hint="eastAsia"/>
          <w:color w:val="000000"/>
          <w:sz w:val="33"/>
          <w:szCs w:val="33"/>
        </w:rPr>
        <w:t>减少76.959132</w:t>
      </w:r>
      <w:r>
        <w:rPr>
          <w:rFonts w:ascii="仿宋_GB2312" w:eastAsia="仿宋_GB2312" w:hAnsi="simsun" w:hint="eastAsia"/>
          <w:color w:val="000000"/>
          <w:sz w:val="32"/>
          <w:szCs w:val="32"/>
        </w:rPr>
        <w:t>万元，主要原因是</w:t>
      </w:r>
      <w:r>
        <w:rPr>
          <w:rFonts w:ascii="仿宋_GB2312" w:eastAsia="仿宋_GB2312" w:hAnsi="simsun" w:hint="eastAsia"/>
          <w:color w:val="000000"/>
          <w:sz w:val="33"/>
          <w:szCs w:val="33"/>
        </w:rPr>
        <w:t>老旧小区改造项目收支减少</w:t>
      </w:r>
      <w:r>
        <w:rPr>
          <w:rFonts w:ascii="仿宋_GB2312" w:eastAsia="仿宋_GB2312" w:hAnsi="simsun" w:hint="eastAsia"/>
          <w:color w:val="000000"/>
          <w:sz w:val="32"/>
          <w:szCs w:val="32"/>
        </w:rPr>
        <w:t>。收入包括：一般公共预算拨款收入</w:t>
      </w:r>
      <w:r>
        <w:rPr>
          <w:rFonts w:ascii="仿宋_GB2312" w:eastAsia="仿宋_GB2312" w:hAnsi="simsun" w:hint="eastAsia"/>
          <w:color w:val="000000"/>
          <w:sz w:val="33"/>
          <w:szCs w:val="33"/>
        </w:rPr>
        <w:t>713.234068</w:t>
      </w:r>
      <w:r>
        <w:rPr>
          <w:rFonts w:ascii="仿宋_GB2312" w:eastAsia="仿宋_GB2312" w:hAnsi="simsun" w:hint="eastAsia"/>
          <w:color w:val="000000"/>
          <w:sz w:val="32"/>
          <w:szCs w:val="32"/>
        </w:rPr>
        <w:t>万元、政府性基金预算拨款收入</w:t>
      </w:r>
      <w:r>
        <w:rPr>
          <w:rFonts w:ascii="仿宋_GB2312" w:eastAsia="仿宋_GB2312" w:hAnsi="simsun" w:hint="eastAsia"/>
          <w:color w:val="000000"/>
          <w:sz w:val="33"/>
          <w:szCs w:val="33"/>
        </w:rPr>
        <w:t>58.08</w:t>
      </w:r>
      <w:r>
        <w:rPr>
          <w:rFonts w:ascii="仿宋_GB2312" w:eastAsia="仿宋_GB2312" w:hAnsi="simsun" w:hint="eastAsia"/>
          <w:color w:val="000000"/>
          <w:sz w:val="32"/>
          <w:szCs w:val="32"/>
        </w:rPr>
        <w:t>万元、国有资本经营预算拨款收入</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万元、上年财政结转结余</w:t>
      </w:r>
      <w:r>
        <w:rPr>
          <w:rFonts w:ascii="仿宋_GB2312" w:eastAsia="仿宋_GB2312" w:hAnsi="simsun" w:hint="eastAsia"/>
          <w:color w:val="000000"/>
          <w:sz w:val="33"/>
          <w:szCs w:val="33"/>
        </w:rPr>
        <w:t>161.6</w:t>
      </w:r>
      <w:r>
        <w:rPr>
          <w:rFonts w:ascii="仿宋_GB2312" w:eastAsia="仿宋_GB2312" w:hAnsi="simsun" w:hint="eastAsia"/>
          <w:color w:val="000000"/>
          <w:sz w:val="32"/>
          <w:szCs w:val="32"/>
        </w:rPr>
        <w:t>万元。2024年财政拨款支出预算</w:t>
      </w:r>
      <w:r>
        <w:rPr>
          <w:rFonts w:ascii="仿宋_GB2312" w:eastAsia="仿宋_GB2312" w:hAnsi="simsun" w:hint="eastAsia"/>
          <w:color w:val="000000"/>
          <w:sz w:val="33"/>
          <w:szCs w:val="33"/>
        </w:rPr>
        <w:t>932.914068</w:t>
      </w:r>
      <w:r>
        <w:rPr>
          <w:rFonts w:ascii="仿宋_GB2312" w:eastAsia="仿宋_GB2312" w:hAnsi="simsun" w:hint="eastAsia"/>
          <w:color w:val="000000"/>
          <w:sz w:val="32"/>
          <w:szCs w:val="32"/>
        </w:rPr>
        <w:t>万元，与2023年预算相比</w:t>
      </w:r>
      <w:r>
        <w:rPr>
          <w:rFonts w:ascii="仿宋_GB2312" w:eastAsia="仿宋_GB2312" w:hAnsi="simsun" w:hint="eastAsia"/>
          <w:color w:val="000000"/>
          <w:sz w:val="33"/>
          <w:szCs w:val="33"/>
        </w:rPr>
        <w:t>减少</w:t>
      </w:r>
      <w:r>
        <w:rPr>
          <w:rFonts w:ascii="仿宋_GB2312" w:eastAsia="仿宋_GB2312" w:hAnsi="simsun" w:hint="eastAsia"/>
          <w:color w:val="000000"/>
          <w:sz w:val="32"/>
          <w:szCs w:val="32"/>
        </w:rPr>
        <w:t> </w:t>
      </w:r>
      <w:r>
        <w:rPr>
          <w:rFonts w:ascii="仿宋_GB2312" w:eastAsia="仿宋_GB2312" w:hAnsi="simsun" w:hint="eastAsia"/>
          <w:color w:val="000000"/>
          <w:sz w:val="33"/>
          <w:szCs w:val="33"/>
        </w:rPr>
        <w:t>76.959132</w:t>
      </w:r>
      <w:r>
        <w:rPr>
          <w:rFonts w:ascii="仿宋_GB2312" w:eastAsia="仿宋_GB2312" w:hAnsi="simsun" w:hint="eastAsia"/>
          <w:color w:val="000000"/>
          <w:sz w:val="32"/>
          <w:szCs w:val="32"/>
        </w:rPr>
        <w:t>万元，主要原因是</w:t>
      </w:r>
      <w:r>
        <w:rPr>
          <w:rFonts w:ascii="仿宋_GB2312" w:eastAsia="仿宋_GB2312" w:hAnsi="simsun" w:hint="eastAsia"/>
          <w:color w:val="000000"/>
          <w:sz w:val="33"/>
          <w:szCs w:val="33"/>
        </w:rPr>
        <w:t>老旧小区改造项目收支减少</w:t>
      </w:r>
      <w:r>
        <w:rPr>
          <w:rFonts w:ascii="仿宋_GB2312" w:eastAsia="仿宋_GB2312" w:hAnsi="simsun" w:hint="eastAsia"/>
          <w:color w:val="000000"/>
          <w:sz w:val="32"/>
          <w:szCs w:val="32"/>
        </w:rPr>
        <w:t>。支出包括：</w:t>
      </w:r>
      <w:r>
        <w:rPr>
          <w:rFonts w:ascii="仿宋_GB2312" w:eastAsia="仿宋_GB2312" w:hAnsi="simsun" w:hint="eastAsia"/>
          <w:color w:val="000000"/>
          <w:sz w:val="33"/>
          <w:szCs w:val="33"/>
        </w:rPr>
        <w:t>城乡社区支出712.294168万元、住房保障支出161.6万元、债务付息支出59.0199万元。</w:t>
      </w:r>
      <w:r>
        <w:rPr>
          <w:rFonts w:ascii="simsun" w:hAnsi="simsun"/>
          <w:color w:val="000000"/>
          <w:sz w:val="32"/>
          <w:szCs w:val="32"/>
        </w:rPr>
        <w:t> </w:t>
      </w:r>
    </w:p>
    <w:p w:rsidR="00F57469" w:rsidRDefault="00F57469" w:rsidP="00F57469">
      <w:pPr>
        <w:pStyle w:val="a3"/>
        <w:wordWrap w:val="0"/>
        <w:spacing w:before="260" w:beforeAutospacing="0" w:after="260" w:afterAutospacing="0" w:line="600" w:lineRule="atLeast"/>
        <w:ind w:firstLine="640"/>
        <w:rPr>
          <w:rFonts w:ascii="simsun" w:hAnsi="simsun" w:hint="eastAsia"/>
          <w:color w:val="000000"/>
          <w:sz w:val="18"/>
          <w:szCs w:val="18"/>
        </w:rPr>
      </w:pPr>
      <w:r>
        <w:rPr>
          <w:rFonts w:ascii="黑体" w:eastAsia="黑体" w:hAnsi="黑体" w:hint="eastAsia"/>
          <w:color w:val="000000"/>
          <w:sz w:val="32"/>
          <w:szCs w:val="32"/>
        </w:rPr>
        <w:t>五、关于一般公共预算支出情况表的说明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left="640"/>
        <w:rPr>
          <w:rFonts w:ascii="simsun" w:hAnsi="simsun" w:hint="eastAsia"/>
          <w:color w:val="000000"/>
          <w:sz w:val="18"/>
          <w:szCs w:val="18"/>
        </w:rPr>
      </w:pPr>
      <w:r>
        <w:rPr>
          <w:rFonts w:ascii="楷体" w:eastAsia="楷体" w:hAnsi="楷体" w:hint="eastAsia"/>
          <w:b/>
          <w:bCs/>
          <w:color w:val="000000"/>
          <w:sz w:val="32"/>
          <w:szCs w:val="32"/>
        </w:rPr>
        <w:t>（一）总体情况</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640"/>
        <w:jc w:val="both"/>
        <w:rPr>
          <w:rFonts w:ascii="simsun" w:hAnsi="simsun" w:hint="eastAsia"/>
          <w:color w:val="000000"/>
          <w:sz w:val="18"/>
          <w:szCs w:val="18"/>
        </w:rPr>
      </w:pPr>
      <w:r>
        <w:rPr>
          <w:rFonts w:ascii="仿宋_GB2312" w:eastAsia="仿宋_GB2312" w:hAnsi="simsun" w:hint="eastAsia"/>
          <w:color w:val="000000"/>
          <w:sz w:val="33"/>
          <w:szCs w:val="33"/>
        </w:rPr>
        <w:lastRenderedPageBreak/>
        <w:t>天津市河东区房产服务中心</w:t>
      </w:r>
      <w:r>
        <w:rPr>
          <w:rFonts w:ascii="仿宋_GB2312" w:eastAsia="仿宋_GB2312" w:hAnsi="simsun" w:hint="eastAsia"/>
          <w:color w:val="000000"/>
          <w:sz w:val="32"/>
          <w:szCs w:val="32"/>
        </w:rPr>
        <w:t>2024年一般公共预算支出</w:t>
      </w:r>
      <w:r>
        <w:rPr>
          <w:rFonts w:ascii="仿宋_GB2312" w:eastAsia="仿宋_GB2312" w:hAnsi="simsun" w:hint="eastAsia"/>
          <w:color w:val="000000"/>
          <w:sz w:val="33"/>
          <w:szCs w:val="33"/>
        </w:rPr>
        <w:t>874.834068</w:t>
      </w:r>
      <w:r>
        <w:rPr>
          <w:rFonts w:ascii="仿宋_GB2312" w:eastAsia="仿宋_GB2312" w:hAnsi="simsun" w:hint="eastAsia"/>
          <w:color w:val="000000"/>
          <w:sz w:val="32"/>
          <w:szCs w:val="32"/>
        </w:rPr>
        <w:t>万元，与2023年预算相比</w:t>
      </w:r>
      <w:r>
        <w:rPr>
          <w:rFonts w:ascii="仿宋_GB2312" w:eastAsia="仿宋_GB2312" w:hAnsi="simsun" w:hint="eastAsia"/>
          <w:color w:val="000000"/>
          <w:sz w:val="33"/>
          <w:szCs w:val="33"/>
        </w:rPr>
        <w:t>减少135.039132万元</w:t>
      </w:r>
      <w:r>
        <w:rPr>
          <w:rFonts w:ascii="仿宋_GB2312" w:eastAsia="仿宋_GB2312" w:hAnsi="simsun" w:hint="eastAsia"/>
          <w:color w:val="000000"/>
          <w:sz w:val="32"/>
          <w:szCs w:val="32"/>
        </w:rPr>
        <w:t>，主要原因是</w:t>
      </w:r>
      <w:r>
        <w:rPr>
          <w:rFonts w:ascii="仿宋_GB2312" w:eastAsia="仿宋_GB2312" w:hAnsi="simsun" w:hint="eastAsia"/>
          <w:color w:val="000000"/>
          <w:sz w:val="33"/>
          <w:szCs w:val="33"/>
        </w:rPr>
        <w:t>老旧小区改造项目收支减少</w:t>
      </w:r>
      <w:r>
        <w:rPr>
          <w:rFonts w:ascii="仿宋_GB2312" w:eastAsia="仿宋_GB2312" w:hAnsi="simsun" w:hint="eastAsia"/>
          <w:color w:val="000000"/>
          <w:sz w:val="32"/>
          <w:szCs w:val="32"/>
        </w:rPr>
        <w:t>。</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640"/>
        <w:rPr>
          <w:rFonts w:ascii="simsun" w:hAnsi="simsun" w:hint="eastAsia"/>
          <w:color w:val="000000"/>
          <w:sz w:val="18"/>
          <w:szCs w:val="18"/>
        </w:rPr>
      </w:pPr>
      <w:r>
        <w:rPr>
          <w:rFonts w:ascii="楷体" w:eastAsia="楷体" w:hAnsi="楷体" w:hint="eastAsia"/>
          <w:b/>
          <w:bCs/>
          <w:color w:val="000000"/>
          <w:sz w:val="32"/>
          <w:szCs w:val="32"/>
        </w:rPr>
        <w:t>（二）具体情况</w:t>
      </w:r>
      <w:r>
        <w:rPr>
          <w:rFonts w:ascii="simsun" w:hAnsi="simsun"/>
          <w:color w:val="000000"/>
          <w:sz w:val="32"/>
          <w:szCs w:val="32"/>
        </w:rPr>
        <w:t> </w:t>
      </w:r>
    </w:p>
    <w:p w:rsidR="00F57469" w:rsidRDefault="00F57469" w:rsidP="00F57469">
      <w:pPr>
        <w:pStyle w:val="a3"/>
        <w:wordWrap w:val="0"/>
        <w:spacing w:before="0" w:beforeAutospacing="0" w:after="0" w:afterAutospacing="0" w:line="580" w:lineRule="atLeast"/>
        <w:jc w:val="both"/>
        <w:rPr>
          <w:rFonts w:ascii="simsun" w:hAnsi="simsun" w:hint="eastAsia"/>
          <w:color w:val="000000"/>
          <w:sz w:val="18"/>
          <w:szCs w:val="18"/>
        </w:rPr>
      </w:pPr>
      <w:r>
        <w:rPr>
          <w:rFonts w:ascii="仿宋_GB2312" w:eastAsia="仿宋_GB2312" w:hAnsi="simsun" w:hint="eastAsia"/>
          <w:color w:val="000000"/>
          <w:sz w:val="33"/>
          <w:szCs w:val="33"/>
        </w:rPr>
        <w:t>    </w:t>
      </w:r>
      <w:r>
        <w:rPr>
          <w:rFonts w:ascii="仿宋_GB2312" w:eastAsia="仿宋_GB2312" w:hAnsi="simsun" w:hint="eastAsia"/>
          <w:color w:val="000000"/>
          <w:sz w:val="33"/>
          <w:szCs w:val="33"/>
        </w:rPr>
        <w:t>1.“城乡社区支出（类）”2024年712.294168万元，与2023年相比增加161.810968万元，主要原因是：增加2023年城镇老旧小区改造项目，其中：</w:t>
      </w:r>
      <w:r>
        <w:rPr>
          <w:rFonts w:ascii="仿宋_GB2312" w:eastAsia="仿宋_GB2312" w:hAnsi="simsun" w:hint="eastAsia"/>
          <w:color w:val="000000"/>
          <w:sz w:val="33"/>
          <w:szCs w:val="33"/>
        </w:rPr>
        <w:br/>
      </w:r>
      <w:r>
        <w:rPr>
          <w:rFonts w:ascii="仿宋_GB2312" w:eastAsia="仿宋_GB2312" w:hAnsi="simsun" w:hint="eastAsia"/>
          <w:color w:val="000000"/>
          <w:sz w:val="33"/>
          <w:szCs w:val="33"/>
        </w:rPr>
        <w:t>    </w:t>
      </w:r>
      <w:r>
        <w:rPr>
          <w:rFonts w:ascii="仿宋_GB2312" w:eastAsia="仿宋_GB2312" w:hAnsi="simsun" w:hint="eastAsia"/>
          <w:color w:val="000000"/>
          <w:sz w:val="33"/>
          <w:szCs w:val="33"/>
        </w:rPr>
        <w:t>“城乡社区公共设施（款）”712.294168万元，包括：“其他城乡社区公共设施支出（项）”712.294168万元，主要用于公租房管理所公房支出，城镇老旧小区改造支出的支出；</w:t>
      </w:r>
      <w:r>
        <w:rPr>
          <w:rFonts w:ascii="仿宋_GB2312" w:eastAsia="仿宋_GB2312" w:hAnsi="simsun" w:hint="eastAsia"/>
          <w:color w:val="000000"/>
          <w:sz w:val="33"/>
          <w:szCs w:val="33"/>
        </w:rPr>
        <w:br/>
      </w:r>
      <w:r>
        <w:rPr>
          <w:rFonts w:ascii="仿宋_GB2312" w:eastAsia="仿宋_GB2312" w:hAnsi="simsun" w:hint="eastAsia"/>
          <w:color w:val="000000"/>
          <w:sz w:val="33"/>
          <w:szCs w:val="33"/>
        </w:rPr>
        <w:t>    </w:t>
      </w:r>
      <w:r>
        <w:rPr>
          <w:rFonts w:ascii="仿宋_GB2312" w:eastAsia="仿宋_GB2312" w:hAnsi="simsun" w:hint="eastAsia"/>
          <w:color w:val="000000"/>
          <w:sz w:val="33"/>
          <w:szCs w:val="33"/>
        </w:rPr>
        <w:t>2.“住房保障支出（类）”2024年161.6万元，与2023年相比减少297.79万元，主要原因是：老旧小区改造项目收支减少，其中：</w:t>
      </w:r>
      <w:r>
        <w:rPr>
          <w:rFonts w:ascii="仿宋_GB2312" w:eastAsia="仿宋_GB2312" w:hAnsi="simsun" w:hint="eastAsia"/>
          <w:color w:val="000000"/>
          <w:sz w:val="33"/>
          <w:szCs w:val="33"/>
        </w:rPr>
        <w:br/>
      </w:r>
      <w:r>
        <w:rPr>
          <w:rFonts w:ascii="仿宋_GB2312" w:eastAsia="仿宋_GB2312" w:hAnsi="simsun" w:hint="eastAsia"/>
          <w:color w:val="000000"/>
          <w:sz w:val="33"/>
          <w:szCs w:val="33"/>
        </w:rPr>
        <w:t>    </w:t>
      </w:r>
      <w:r>
        <w:rPr>
          <w:rFonts w:ascii="仿宋_GB2312" w:eastAsia="仿宋_GB2312" w:hAnsi="simsun" w:hint="eastAsia"/>
          <w:color w:val="000000"/>
          <w:sz w:val="33"/>
          <w:szCs w:val="33"/>
        </w:rPr>
        <w:t>“保障性安居工程支出（款）”161.6万元，包括：“老旧小区改造（项）”161.6万元，主要用于老旧小区改造的支出；</w:t>
      </w:r>
      <w:r>
        <w:rPr>
          <w:rFonts w:ascii="仿宋_GB2312" w:eastAsia="仿宋_GB2312" w:hAnsi="simsun" w:hint="eastAsia"/>
          <w:color w:val="000000"/>
          <w:sz w:val="33"/>
          <w:szCs w:val="33"/>
        </w:rPr>
        <w:br/>
      </w:r>
      <w:r>
        <w:rPr>
          <w:rFonts w:ascii="仿宋_GB2312" w:eastAsia="仿宋_GB2312" w:hAnsi="simsun" w:hint="eastAsia"/>
          <w:color w:val="000000"/>
          <w:sz w:val="33"/>
          <w:szCs w:val="33"/>
        </w:rPr>
        <w:t>    </w:t>
      </w:r>
      <w:r>
        <w:rPr>
          <w:rFonts w:ascii="仿宋_GB2312" w:eastAsia="仿宋_GB2312" w:hAnsi="simsun" w:hint="eastAsia"/>
          <w:color w:val="000000"/>
          <w:sz w:val="33"/>
          <w:szCs w:val="33"/>
        </w:rPr>
        <w:t>3.“债务付息支出（类）”2024年0.9399万元，与2023年相比增加0.9399万元，主要原因是：2024年一般债券到期利息，其中：</w:t>
      </w:r>
      <w:r>
        <w:rPr>
          <w:rFonts w:ascii="仿宋_GB2312" w:eastAsia="仿宋_GB2312" w:hAnsi="simsun" w:hint="eastAsia"/>
          <w:color w:val="000000"/>
          <w:sz w:val="33"/>
          <w:szCs w:val="33"/>
        </w:rPr>
        <w:br/>
      </w:r>
      <w:r>
        <w:rPr>
          <w:rFonts w:ascii="仿宋_GB2312" w:eastAsia="仿宋_GB2312" w:hAnsi="simsun" w:hint="eastAsia"/>
          <w:color w:val="000000"/>
          <w:sz w:val="33"/>
          <w:szCs w:val="33"/>
        </w:rPr>
        <w:t>    </w:t>
      </w:r>
      <w:r>
        <w:rPr>
          <w:rFonts w:ascii="仿宋_GB2312" w:eastAsia="仿宋_GB2312" w:hAnsi="simsun" w:hint="eastAsia"/>
          <w:color w:val="000000"/>
          <w:sz w:val="33"/>
          <w:szCs w:val="33"/>
        </w:rPr>
        <w:t>“地方政府一般债务付息支出（款）”0.9399万元，包括：“地方政府一般债券付息支出（项）”0.9399万元，</w:t>
      </w:r>
      <w:r>
        <w:rPr>
          <w:rFonts w:ascii="仿宋_GB2312" w:eastAsia="仿宋_GB2312" w:hAnsi="simsun" w:hint="eastAsia"/>
          <w:color w:val="000000"/>
          <w:sz w:val="33"/>
          <w:szCs w:val="33"/>
        </w:rPr>
        <w:lastRenderedPageBreak/>
        <w:t>主要用于地方政府专项债务利息的支出；</w:t>
      </w:r>
      <w:r>
        <w:rPr>
          <w:rFonts w:ascii="仿宋_GB2312" w:eastAsia="仿宋_GB2312" w:hAnsi="simsun" w:hint="eastAsia"/>
          <w:color w:val="000000"/>
          <w:sz w:val="33"/>
          <w:szCs w:val="33"/>
        </w:rPr>
        <w:br/>
      </w:r>
      <w:r>
        <w:rPr>
          <w:rFonts w:ascii="simsun" w:hAnsi="simsun"/>
          <w:color w:val="000000"/>
          <w:sz w:val="32"/>
          <w:szCs w:val="32"/>
        </w:rPr>
        <w:t> </w:t>
      </w:r>
    </w:p>
    <w:p w:rsidR="00F57469" w:rsidRDefault="00F57469" w:rsidP="00F57469">
      <w:pPr>
        <w:pStyle w:val="a3"/>
        <w:wordWrap w:val="0"/>
        <w:spacing w:before="260" w:beforeAutospacing="0" w:after="260" w:afterAutospacing="0" w:line="600" w:lineRule="atLeast"/>
        <w:ind w:firstLine="640"/>
        <w:rPr>
          <w:rFonts w:ascii="simsun" w:hAnsi="simsun" w:hint="eastAsia"/>
          <w:color w:val="000000"/>
          <w:sz w:val="18"/>
          <w:szCs w:val="18"/>
        </w:rPr>
      </w:pPr>
      <w:r>
        <w:rPr>
          <w:rFonts w:ascii="黑体" w:eastAsia="黑体" w:hAnsi="黑体" w:hint="eastAsia"/>
          <w:color w:val="000000"/>
          <w:sz w:val="32"/>
          <w:szCs w:val="32"/>
        </w:rPr>
        <w:t>六、关于一般公共预算基本支出情况表的说明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640"/>
        <w:jc w:val="both"/>
        <w:rPr>
          <w:rFonts w:ascii="simsun" w:hAnsi="simsun" w:hint="eastAsia"/>
          <w:color w:val="000000"/>
          <w:sz w:val="18"/>
          <w:szCs w:val="18"/>
        </w:rPr>
      </w:pPr>
      <w:r>
        <w:rPr>
          <w:rFonts w:ascii="仿宋_GB2312" w:eastAsia="仿宋_GB2312" w:hAnsi="simsun" w:hint="eastAsia"/>
          <w:color w:val="000000"/>
          <w:sz w:val="33"/>
          <w:szCs w:val="33"/>
        </w:rPr>
        <w:t>天津市河东区房产服务中心</w:t>
      </w:r>
      <w:r>
        <w:rPr>
          <w:rFonts w:ascii="仿宋_GB2312" w:eastAsia="仿宋_GB2312" w:hAnsi="simsun" w:hint="eastAsia"/>
          <w:color w:val="000000"/>
          <w:sz w:val="32"/>
          <w:szCs w:val="32"/>
        </w:rPr>
        <w:t>2024年一般公共预算基本支出</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万元，与2023年预算相比</w:t>
      </w:r>
      <w:r>
        <w:rPr>
          <w:rFonts w:ascii="仿宋_GB2312" w:eastAsia="仿宋_GB2312" w:hAnsi="simsun" w:hint="eastAsia"/>
          <w:color w:val="000000"/>
          <w:sz w:val="33"/>
          <w:szCs w:val="33"/>
        </w:rPr>
        <w:t>保持一致</w:t>
      </w:r>
      <w:r>
        <w:rPr>
          <w:rFonts w:ascii="仿宋_GB2312" w:eastAsia="仿宋_GB2312" w:hAnsi="simsun" w:hint="eastAsia"/>
          <w:color w:val="000000"/>
          <w:sz w:val="32"/>
          <w:szCs w:val="32"/>
        </w:rPr>
        <w:t>，主要原因是。其中：</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640"/>
        <w:jc w:val="both"/>
        <w:rPr>
          <w:rFonts w:ascii="simsun" w:hAnsi="simsun" w:hint="eastAsia"/>
          <w:color w:val="000000"/>
          <w:sz w:val="18"/>
          <w:szCs w:val="18"/>
        </w:rPr>
      </w:pPr>
      <w:r>
        <w:rPr>
          <w:rFonts w:ascii="仿宋_GB2312" w:eastAsia="仿宋_GB2312" w:hAnsi="simsun" w:hint="eastAsia"/>
          <w:color w:val="000000"/>
          <w:sz w:val="32"/>
          <w:szCs w:val="32"/>
        </w:rPr>
        <w:t>人员经费</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万元，主要包括：</w:t>
      </w:r>
      <w:r>
        <w:rPr>
          <w:rFonts w:ascii="仿宋_GB2312" w:eastAsia="仿宋_GB2312" w:hAnsi="simsun" w:hint="eastAsia"/>
          <w:color w:val="000000"/>
          <w:sz w:val="33"/>
          <w:szCs w:val="33"/>
        </w:rPr>
        <w:t>。</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640"/>
        <w:jc w:val="both"/>
        <w:rPr>
          <w:rFonts w:ascii="simsun" w:hAnsi="simsun" w:hint="eastAsia"/>
          <w:color w:val="000000"/>
          <w:sz w:val="18"/>
          <w:szCs w:val="18"/>
        </w:rPr>
      </w:pPr>
      <w:r>
        <w:rPr>
          <w:rFonts w:ascii="仿宋_GB2312" w:eastAsia="仿宋_GB2312" w:hAnsi="simsun" w:hint="eastAsia"/>
          <w:color w:val="000000"/>
          <w:sz w:val="32"/>
          <w:szCs w:val="32"/>
        </w:rPr>
        <w:t>公用经费</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万元，主要包括：</w:t>
      </w:r>
      <w:r>
        <w:rPr>
          <w:rFonts w:ascii="仿宋_GB2312" w:eastAsia="仿宋_GB2312" w:hAnsi="simsun" w:hint="eastAsia"/>
          <w:color w:val="000000"/>
          <w:sz w:val="33"/>
          <w:szCs w:val="33"/>
        </w:rPr>
        <w:t>。</w:t>
      </w:r>
      <w:r>
        <w:rPr>
          <w:rFonts w:ascii="simsun" w:hAnsi="simsun"/>
          <w:color w:val="000000"/>
          <w:sz w:val="32"/>
          <w:szCs w:val="32"/>
        </w:rPr>
        <w:t> </w:t>
      </w:r>
    </w:p>
    <w:p w:rsidR="00F57469" w:rsidRDefault="00F57469" w:rsidP="00F57469">
      <w:pPr>
        <w:pStyle w:val="a3"/>
        <w:wordWrap w:val="0"/>
        <w:spacing w:before="260" w:beforeAutospacing="0" w:after="260" w:afterAutospacing="0" w:line="600" w:lineRule="atLeast"/>
        <w:ind w:firstLine="640"/>
        <w:rPr>
          <w:rFonts w:ascii="simsun" w:hAnsi="simsun" w:hint="eastAsia"/>
          <w:color w:val="000000"/>
          <w:sz w:val="18"/>
          <w:szCs w:val="18"/>
        </w:rPr>
      </w:pPr>
      <w:r>
        <w:rPr>
          <w:rFonts w:ascii="黑体" w:eastAsia="黑体" w:hAnsi="黑体" w:hint="eastAsia"/>
          <w:color w:val="000000"/>
          <w:sz w:val="32"/>
          <w:szCs w:val="32"/>
        </w:rPr>
        <w:t>七、关于一般公共预算“三公”经费支出情况表的说明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firstLine="640"/>
        <w:jc w:val="both"/>
        <w:rPr>
          <w:rFonts w:ascii="simsun" w:hAnsi="simsun" w:hint="eastAsia"/>
          <w:color w:val="000000"/>
          <w:sz w:val="18"/>
          <w:szCs w:val="18"/>
        </w:rPr>
      </w:pPr>
      <w:r>
        <w:rPr>
          <w:rFonts w:ascii="仿宋_GB2312" w:eastAsia="仿宋_GB2312" w:hAnsi="simsun" w:hint="eastAsia"/>
          <w:color w:val="000000"/>
          <w:sz w:val="32"/>
          <w:szCs w:val="32"/>
        </w:rPr>
        <w:t>2024年一般公共预算“三公”经费安排</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万元，与2023年预算相比</w:t>
      </w:r>
      <w:r>
        <w:rPr>
          <w:rFonts w:ascii="仿宋_GB2312" w:eastAsia="仿宋_GB2312" w:hAnsi="simsun" w:hint="eastAsia"/>
          <w:color w:val="000000"/>
          <w:sz w:val="33"/>
          <w:szCs w:val="33"/>
        </w:rPr>
        <w:t>保持一致，</w:t>
      </w:r>
      <w:r>
        <w:rPr>
          <w:rFonts w:ascii="仿宋_GB2312" w:eastAsia="仿宋_GB2312" w:hAnsi="simsun" w:hint="eastAsia"/>
          <w:color w:val="000000"/>
          <w:sz w:val="32"/>
          <w:szCs w:val="32"/>
        </w:rPr>
        <w:t>主要原因是</w:t>
      </w:r>
      <w:r>
        <w:rPr>
          <w:rFonts w:ascii="仿宋_GB2312" w:eastAsia="仿宋_GB2312" w:hAnsi="simsun" w:hint="eastAsia"/>
          <w:color w:val="000000"/>
          <w:sz w:val="33"/>
          <w:szCs w:val="33"/>
        </w:rPr>
        <w:t>本部门一般公共预算未安排“三公”经费</w:t>
      </w:r>
      <w:r>
        <w:rPr>
          <w:rFonts w:ascii="仿宋_GB2312" w:eastAsia="仿宋_GB2312" w:hAnsi="simsun" w:hint="eastAsia"/>
          <w:color w:val="000000"/>
          <w:sz w:val="32"/>
          <w:szCs w:val="32"/>
        </w:rPr>
        <w:t>。具体情况：</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firstLine="640"/>
        <w:jc w:val="both"/>
        <w:rPr>
          <w:rFonts w:ascii="simsun" w:hAnsi="simsun" w:hint="eastAsia"/>
          <w:color w:val="000000"/>
          <w:sz w:val="18"/>
          <w:szCs w:val="18"/>
        </w:rPr>
      </w:pPr>
      <w:r>
        <w:rPr>
          <w:rFonts w:ascii="仿宋_GB2312" w:eastAsia="仿宋_GB2312" w:hAnsi="simsun" w:hint="eastAsia"/>
          <w:color w:val="000000"/>
          <w:sz w:val="32"/>
          <w:szCs w:val="32"/>
        </w:rPr>
        <w:t>一、2024年因公出国（境）费预算</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万元，与2023年预算相比</w:t>
      </w:r>
      <w:r>
        <w:rPr>
          <w:rFonts w:ascii="仿宋_GB2312" w:eastAsia="仿宋_GB2312" w:hAnsi="simsun" w:hint="eastAsia"/>
          <w:color w:val="000000"/>
          <w:sz w:val="33"/>
          <w:szCs w:val="33"/>
        </w:rPr>
        <w:t>保持一致，</w:t>
      </w:r>
      <w:r>
        <w:rPr>
          <w:rFonts w:ascii="仿宋_GB2312" w:eastAsia="仿宋_GB2312" w:hAnsi="simsun" w:hint="eastAsia"/>
          <w:color w:val="000000"/>
          <w:sz w:val="32"/>
          <w:szCs w:val="32"/>
        </w:rPr>
        <w:t>主要原因是</w:t>
      </w:r>
      <w:r>
        <w:rPr>
          <w:rFonts w:ascii="仿宋_GB2312" w:eastAsia="仿宋_GB2312" w:hAnsi="simsun" w:hint="eastAsia"/>
          <w:color w:val="000000"/>
          <w:sz w:val="33"/>
          <w:szCs w:val="33"/>
        </w:rPr>
        <w:t>本部门一般公共预算未安排因公出国（境）费用</w:t>
      </w:r>
      <w:r>
        <w:rPr>
          <w:rFonts w:ascii="仿宋_GB2312" w:eastAsia="仿宋_GB2312" w:hAnsi="simsun" w:hint="eastAsia"/>
          <w:color w:val="000000"/>
          <w:sz w:val="32"/>
          <w:szCs w:val="32"/>
        </w:rPr>
        <w:t>。</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firstLine="640"/>
        <w:jc w:val="both"/>
        <w:rPr>
          <w:rFonts w:ascii="simsun" w:hAnsi="simsun" w:hint="eastAsia"/>
          <w:color w:val="000000"/>
          <w:sz w:val="18"/>
          <w:szCs w:val="18"/>
        </w:rPr>
      </w:pPr>
      <w:r>
        <w:rPr>
          <w:rFonts w:ascii="仿宋_GB2312" w:eastAsia="仿宋_GB2312" w:hAnsi="simsun" w:hint="eastAsia"/>
          <w:color w:val="000000"/>
          <w:sz w:val="32"/>
          <w:szCs w:val="32"/>
        </w:rPr>
        <w:t>二、2024年公务用车购置及运行费预算</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万元，其中公务用车运行费</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万元，与2023年预算相比</w:t>
      </w:r>
      <w:r>
        <w:rPr>
          <w:rFonts w:ascii="仿宋_GB2312" w:eastAsia="仿宋_GB2312" w:hAnsi="simsun" w:hint="eastAsia"/>
          <w:color w:val="000000"/>
          <w:sz w:val="33"/>
          <w:szCs w:val="33"/>
        </w:rPr>
        <w:t>保持一致，</w:t>
      </w:r>
      <w:r>
        <w:rPr>
          <w:rFonts w:ascii="仿宋_GB2312" w:eastAsia="仿宋_GB2312" w:hAnsi="simsun" w:hint="eastAsia"/>
          <w:color w:val="000000"/>
          <w:sz w:val="32"/>
          <w:szCs w:val="32"/>
        </w:rPr>
        <w:t>主要原因是</w:t>
      </w:r>
      <w:r>
        <w:rPr>
          <w:rFonts w:ascii="仿宋_GB2312" w:eastAsia="仿宋_GB2312" w:hAnsi="simsun" w:hint="eastAsia"/>
          <w:color w:val="000000"/>
          <w:sz w:val="33"/>
          <w:szCs w:val="33"/>
        </w:rPr>
        <w:t>本部门一般公共预算未安排公务用车运行费</w:t>
      </w:r>
      <w:r>
        <w:rPr>
          <w:rFonts w:ascii="仿宋_GB2312" w:eastAsia="仿宋_GB2312" w:hAnsi="simsun" w:hint="eastAsia"/>
          <w:color w:val="000000"/>
          <w:sz w:val="32"/>
          <w:szCs w:val="32"/>
        </w:rPr>
        <w:t>；公务用车购置费</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万元，与2023年预算相比</w:t>
      </w:r>
      <w:r>
        <w:rPr>
          <w:rFonts w:ascii="仿宋_GB2312" w:eastAsia="仿宋_GB2312" w:hAnsi="simsun" w:hint="eastAsia"/>
          <w:color w:val="000000"/>
          <w:sz w:val="33"/>
          <w:szCs w:val="33"/>
        </w:rPr>
        <w:t>保持一致，</w:t>
      </w:r>
      <w:r>
        <w:rPr>
          <w:rFonts w:ascii="仿宋_GB2312" w:eastAsia="仿宋_GB2312" w:hAnsi="simsun" w:hint="eastAsia"/>
          <w:color w:val="000000"/>
          <w:sz w:val="32"/>
          <w:szCs w:val="32"/>
        </w:rPr>
        <w:t>主要原因是</w:t>
      </w:r>
      <w:r>
        <w:rPr>
          <w:rFonts w:ascii="仿宋_GB2312" w:eastAsia="仿宋_GB2312" w:hAnsi="simsun" w:hint="eastAsia"/>
          <w:color w:val="000000"/>
          <w:sz w:val="33"/>
          <w:szCs w:val="33"/>
        </w:rPr>
        <w:t>本部门一般公共预算未安排公务用车购置费</w:t>
      </w:r>
      <w:r>
        <w:rPr>
          <w:rFonts w:ascii="仿宋_GB2312" w:eastAsia="仿宋_GB2312" w:hAnsi="simsun" w:hint="eastAsia"/>
          <w:color w:val="000000"/>
          <w:sz w:val="32"/>
          <w:szCs w:val="32"/>
        </w:rPr>
        <w:t>。</w:t>
      </w:r>
      <w:r>
        <w:rPr>
          <w:rFonts w:ascii="simsun" w:hAnsi="simsun"/>
          <w:color w:val="000000"/>
          <w:sz w:val="32"/>
          <w:szCs w:val="32"/>
        </w:rPr>
        <w:t> </w:t>
      </w:r>
    </w:p>
    <w:p w:rsidR="00F57469" w:rsidRDefault="00F57469" w:rsidP="00F57469">
      <w:pPr>
        <w:pStyle w:val="a3"/>
        <w:wordWrap w:val="0"/>
        <w:spacing w:before="0" w:beforeAutospacing="0" w:after="0" w:afterAutospacing="0" w:line="580" w:lineRule="atLeast"/>
        <w:ind w:firstLine="640"/>
        <w:jc w:val="both"/>
        <w:rPr>
          <w:rFonts w:ascii="simsun" w:hAnsi="simsun" w:hint="eastAsia"/>
          <w:color w:val="000000"/>
          <w:sz w:val="18"/>
          <w:szCs w:val="18"/>
        </w:rPr>
      </w:pPr>
      <w:r>
        <w:rPr>
          <w:rFonts w:ascii="仿宋_GB2312" w:eastAsia="仿宋_GB2312" w:hAnsi="simsun" w:hint="eastAsia"/>
          <w:color w:val="000000"/>
          <w:sz w:val="32"/>
          <w:szCs w:val="32"/>
        </w:rPr>
        <w:lastRenderedPageBreak/>
        <w:t>三、2024年公务接待费预算</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万元，与2023年预算相比</w:t>
      </w:r>
      <w:r>
        <w:rPr>
          <w:rFonts w:ascii="仿宋_GB2312" w:eastAsia="仿宋_GB2312" w:hAnsi="simsun" w:hint="eastAsia"/>
          <w:color w:val="000000"/>
          <w:sz w:val="33"/>
          <w:szCs w:val="33"/>
        </w:rPr>
        <w:t>保持一致，</w:t>
      </w:r>
      <w:r>
        <w:rPr>
          <w:rFonts w:ascii="仿宋_GB2312" w:eastAsia="仿宋_GB2312" w:hAnsi="simsun" w:hint="eastAsia"/>
          <w:color w:val="000000"/>
          <w:sz w:val="32"/>
          <w:szCs w:val="32"/>
        </w:rPr>
        <w:t>主要原因是</w:t>
      </w:r>
      <w:r>
        <w:rPr>
          <w:rFonts w:ascii="仿宋_GB2312" w:eastAsia="仿宋_GB2312" w:hAnsi="simsun" w:hint="eastAsia"/>
          <w:color w:val="000000"/>
          <w:sz w:val="33"/>
          <w:szCs w:val="33"/>
        </w:rPr>
        <w:t>本部门一般公共预算未安排公务接待费</w:t>
      </w:r>
      <w:r>
        <w:rPr>
          <w:rFonts w:ascii="仿宋_GB2312" w:eastAsia="仿宋_GB2312" w:hAnsi="simsun" w:hint="eastAsia"/>
          <w:color w:val="000000"/>
          <w:sz w:val="32"/>
          <w:szCs w:val="32"/>
        </w:rPr>
        <w:t>。</w:t>
      </w:r>
      <w:r>
        <w:rPr>
          <w:rFonts w:ascii="simsun" w:hAnsi="simsun"/>
          <w:color w:val="000000"/>
          <w:sz w:val="30"/>
          <w:szCs w:val="30"/>
        </w:rPr>
        <w:t> </w:t>
      </w:r>
    </w:p>
    <w:p w:rsidR="00F57469" w:rsidRDefault="00F57469" w:rsidP="00F57469">
      <w:pPr>
        <w:pStyle w:val="a3"/>
        <w:wordWrap w:val="0"/>
        <w:spacing w:before="260" w:beforeAutospacing="0" w:after="260" w:afterAutospacing="0" w:line="600" w:lineRule="atLeast"/>
        <w:ind w:firstLine="640"/>
        <w:rPr>
          <w:rFonts w:ascii="simsun" w:hAnsi="simsun" w:hint="eastAsia"/>
          <w:color w:val="000000"/>
          <w:sz w:val="18"/>
          <w:szCs w:val="18"/>
        </w:rPr>
      </w:pPr>
      <w:r>
        <w:rPr>
          <w:rFonts w:ascii="黑体" w:eastAsia="黑体" w:hAnsi="黑体" w:hint="eastAsia"/>
          <w:color w:val="000000"/>
          <w:sz w:val="32"/>
          <w:szCs w:val="32"/>
        </w:rPr>
        <w:t>八、关于政府性基金预算支出情况表的说明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left="640"/>
        <w:rPr>
          <w:rFonts w:ascii="simsun" w:hAnsi="simsun" w:hint="eastAsia"/>
          <w:color w:val="000000"/>
          <w:sz w:val="18"/>
          <w:szCs w:val="18"/>
        </w:rPr>
      </w:pPr>
      <w:r>
        <w:rPr>
          <w:rFonts w:ascii="楷体" w:eastAsia="楷体" w:hAnsi="楷体" w:hint="eastAsia"/>
          <w:b/>
          <w:bCs/>
          <w:color w:val="000000"/>
          <w:sz w:val="32"/>
          <w:szCs w:val="32"/>
        </w:rPr>
        <w:t>（一）总体情况</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640"/>
        <w:jc w:val="both"/>
        <w:rPr>
          <w:rFonts w:ascii="simsun" w:hAnsi="simsun" w:hint="eastAsia"/>
          <w:color w:val="000000"/>
          <w:sz w:val="18"/>
          <w:szCs w:val="18"/>
        </w:rPr>
      </w:pPr>
      <w:r>
        <w:rPr>
          <w:rFonts w:ascii="仿宋_GB2312" w:eastAsia="仿宋_GB2312" w:hAnsi="simsun" w:hint="eastAsia"/>
          <w:color w:val="000000"/>
          <w:sz w:val="33"/>
          <w:szCs w:val="33"/>
        </w:rPr>
        <w:t>天津市河东区房产服务中心</w:t>
      </w:r>
      <w:r>
        <w:rPr>
          <w:rFonts w:ascii="仿宋_GB2312" w:eastAsia="仿宋_GB2312" w:hAnsi="simsun" w:hint="eastAsia"/>
          <w:color w:val="000000"/>
          <w:sz w:val="32"/>
          <w:szCs w:val="32"/>
        </w:rPr>
        <w:t>政府性基金预算支出</w:t>
      </w:r>
      <w:r>
        <w:rPr>
          <w:rFonts w:ascii="仿宋_GB2312" w:eastAsia="仿宋_GB2312" w:hAnsi="simsun" w:hint="eastAsia"/>
          <w:color w:val="000000"/>
          <w:sz w:val="33"/>
          <w:szCs w:val="33"/>
        </w:rPr>
        <w:t>58.08</w:t>
      </w:r>
      <w:r>
        <w:rPr>
          <w:rFonts w:ascii="仿宋_GB2312" w:eastAsia="仿宋_GB2312" w:hAnsi="simsun" w:hint="eastAsia"/>
          <w:color w:val="000000"/>
          <w:sz w:val="32"/>
          <w:szCs w:val="32"/>
        </w:rPr>
        <w:t>万元，与2023年预算相比</w:t>
      </w:r>
      <w:r>
        <w:rPr>
          <w:rFonts w:ascii="仿宋_GB2312" w:eastAsia="仿宋_GB2312" w:hAnsi="simsun" w:hint="eastAsia"/>
          <w:color w:val="000000"/>
          <w:sz w:val="33"/>
          <w:szCs w:val="33"/>
        </w:rPr>
        <w:t>增加58.08万元</w:t>
      </w:r>
      <w:r>
        <w:rPr>
          <w:rFonts w:ascii="仿宋_GB2312" w:eastAsia="仿宋_GB2312" w:hAnsi="simsun" w:hint="eastAsia"/>
          <w:color w:val="000000"/>
          <w:sz w:val="32"/>
          <w:szCs w:val="32"/>
        </w:rPr>
        <w:t>，主要原因是</w:t>
      </w:r>
      <w:r>
        <w:rPr>
          <w:rFonts w:ascii="仿宋_GB2312" w:eastAsia="仿宋_GB2312" w:hAnsi="simsun" w:hint="eastAsia"/>
          <w:color w:val="000000"/>
          <w:sz w:val="33"/>
          <w:szCs w:val="33"/>
        </w:rPr>
        <w:t>地方政府专项债务利息</w:t>
      </w:r>
      <w:r>
        <w:rPr>
          <w:rFonts w:ascii="仿宋_GB2312" w:eastAsia="仿宋_GB2312" w:hAnsi="simsun" w:hint="eastAsia"/>
          <w:color w:val="000000"/>
          <w:sz w:val="32"/>
          <w:szCs w:val="32"/>
        </w:rPr>
        <w:t>。</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left="640"/>
        <w:rPr>
          <w:rFonts w:ascii="simsun" w:hAnsi="simsun" w:hint="eastAsia"/>
          <w:color w:val="000000"/>
          <w:sz w:val="18"/>
          <w:szCs w:val="18"/>
        </w:rPr>
      </w:pPr>
      <w:r>
        <w:rPr>
          <w:rFonts w:ascii="楷体" w:eastAsia="楷体" w:hAnsi="楷体" w:hint="eastAsia"/>
          <w:b/>
          <w:bCs/>
          <w:color w:val="000000"/>
          <w:sz w:val="32"/>
          <w:szCs w:val="32"/>
        </w:rPr>
        <w:t>（二）具体情况</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jc w:val="both"/>
        <w:rPr>
          <w:rFonts w:ascii="simsun" w:hAnsi="simsun" w:hint="eastAsia"/>
          <w:color w:val="000000"/>
          <w:sz w:val="18"/>
          <w:szCs w:val="18"/>
        </w:rPr>
      </w:pPr>
      <w:r>
        <w:rPr>
          <w:rFonts w:ascii="仿宋_GB2312" w:eastAsia="仿宋_GB2312" w:hAnsi="simsun" w:hint="eastAsia"/>
          <w:color w:val="000000"/>
          <w:sz w:val="33"/>
          <w:szCs w:val="33"/>
        </w:rPr>
        <w:t>    </w:t>
      </w:r>
      <w:r>
        <w:rPr>
          <w:rFonts w:ascii="仿宋_GB2312" w:eastAsia="仿宋_GB2312" w:hAnsi="simsun" w:hint="eastAsia"/>
          <w:color w:val="000000"/>
          <w:sz w:val="33"/>
          <w:szCs w:val="33"/>
        </w:rPr>
        <w:t>1.“债务付息支出（类）”2024年58.08万元，与2023年相比增加58.08万元，主要原因是：2024年土储专项债到期利息，其中：</w:t>
      </w:r>
      <w:r>
        <w:rPr>
          <w:rFonts w:ascii="仿宋_GB2312" w:eastAsia="仿宋_GB2312" w:hAnsi="simsun" w:hint="eastAsia"/>
          <w:color w:val="000000"/>
          <w:sz w:val="33"/>
          <w:szCs w:val="33"/>
        </w:rPr>
        <w:br/>
      </w:r>
      <w:r>
        <w:rPr>
          <w:rFonts w:ascii="仿宋_GB2312" w:eastAsia="仿宋_GB2312" w:hAnsi="simsun" w:hint="eastAsia"/>
          <w:color w:val="000000"/>
          <w:sz w:val="33"/>
          <w:szCs w:val="33"/>
        </w:rPr>
        <w:t>    </w:t>
      </w:r>
      <w:r>
        <w:rPr>
          <w:rFonts w:ascii="仿宋_GB2312" w:eastAsia="仿宋_GB2312" w:hAnsi="simsun" w:hint="eastAsia"/>
          <w:color w:val="000000"/>
          <w:sz w:val="33"/>
          <w:szCs w:val="33"/>
        </w:rPr>
        <w:t>“地方政府专项债务付息支出（款）”58.08万元，包括：“土地储备专项债券付息支出（项）”58.08万元，主要用于地方政府专项债务利息的支出；</w:t>
      </w:r>
      <w:r>
        <w:rPr>
          <w:rFonts w:ascii="仿宋_GB2312" w:eastAsia="仿宋_GB2312" w:hAnsi="simsun" w:hint="eastAsia"/>
          <w:color w:val="000000"/>
          <w:sz w:val="33"/>
          <w:szCs w:val="33"/>
        </w:rPr>
        <w:br/>
      </w:r>
      <w:r>
        <w:rPr>
          <w:rFonts w:ascii="simsun" w:hAnsi="simsun"/>
          <w:color w:val="000000"/>
          <w:sz w:val="32"/>
          <w:szCs w:val="32"/>
        </w:rPr>
        <w:t> </w:t>
      </w:r>
    </w:p>
    <w:p w:rsidR="00F57469" w:rsidRDefault="00F57469" w:rsidP="00F57469">
      <w:pPr>
        <w:pStyle w:val="a3"/>
        <w:wordWrap w:val="0"/>
        <w:spacing w:before="260" w:beforeAutospacing="0" w:after="260" w:afterAutospacing="0" w:line="600" w:lineRule="atLeast"/>
        <w:ind w:firstLine="640"/>
        <w:rPr>
          <w:rFonts w:ascii="simsun" w:hAnsi="simsun" w:hint="eastAsia"/>
          <w:color w:val="000000"/>
          <w:sz w:val="18"/>
          <w:szCs w:val="18"/>
        </w:rPr>
      </w:pPr>
      <w:r>
        <w:rPr>
          <w:rFonts w:ascii="黑体" w:eastAsia="黑体" w:hAnsi="黑体" w:hint="eastAsia"/>
          <w:color w:val="000000"/>
          <w:sz w:val="32"/>
          <w:szCs w:val="32"/>
        </w:rPr>
        <w:t>九、关于国有资本经营预算支出情况表的说明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left="640"/>
        <w:rPr>
          <w:rFonts w:ascii="simsun" w:hAnsi="simsun" w:hint="eastAsia"/>
          <w:color w:val="000000"/>
          <w:sz w:val="18"/>
          <w:szCs w:val="18"/>
        </w:rPr>
      </w:pPr>
      <w:r>
        <w:rPr>
          <w:rFonts w:ascii="楷体" w:eastAsia="楷体" w:hAnsi="楷体" w:hint="eastAsia"/>
          <w:b/>
          <w:bCs/>
          <w:color w:val="000000"/>
          <w:sz w:val="32"/>
          <w:szCs w:val="32"/>
        </w:rPr>
        <w:t>（一）总体情况</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640"/>
        <w:jc w:val="both"/>
        <w:rPr>
          <w:rFonts w:ascii="simsun" w:hAnsi="simsun" w:hint="eastAsia"/>
          <w:color w:val="000000"/>
          <w:sz w:val="18"/>
          <w:szCs w:val="18"/>
        </w:rPr>
      </w:pPr>
      <w:r>
        <w:rPr>
          <w:rFonts w:ascii="仿宋_GB2312" w:eastAsia="仿宋_GB2312" w:hAnsi="simsun" w:hint="eastAsia"/>
          <w:color w:val="000000"/>
          <w:sz w:val="33"/>
          <w:szCs w:val="33"/>
        </w:rPr>
        <w:t>天津市河东区房产服务中心</w:t>
      </w:r>
      <w:r>
        <w:rPr>
          <w:rFonts w:ascii="仿宋_GB2312" w:eastAsia="仿宋_GB2312" w:hAnsi="simsun" w:hint="eastAsia"/>
          <w:color w:val="000000"/>
          <w:sz w:val="32"/>
          <w:szCs w:val="32"/>
        </w:rPr>
        <w:t>国有资本经营预算支出</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万元，与2023年预算相比</w:t>
      </w:r>
      <w:r>
        <w:rPr>
          <w:rFonts w:ascii="仿宋_GB2312" w:eastAsia="仿宋_GB2312" w:hAnsi="simsun" w:hint="eastAsia"/>
          <w:color w:val="000000"/>
          <w:sz w:val="33"/>
          <w:szCs w:val="33"/>
        </w:rPr>
        <w:t>保持一致</w:t>
      </w:r>
      <w:r>
        <w:rPr>
          <w:rFonts w:ascii="仿宋_GB2312" w:eastAsia="仿宋_GB2312" w:hAnsi="simsun" w:hint="eastAsia"/>
          <w:color w:val="000000"/>
          <w:sz w:val="32"/>
          <w:szCs w:val="32"/>
        </w:rPr>
        <w:t>，主要原因是</w:t>
      </w:r>
      <w:r>
        <w:rPr>
          <w:rFonts w:ascii="仿宋_GB2312" w:eastAsia="仿宋_GB2312" w:hAnsi="simsun" w:hint="eastAsia"/>
          <w:color w:val="000000"/>
          <w:sz w:val="33"/>
          <w:szCs w:val="33"/>
        </w:rPr>
        <w:t>2024年天</w:t>
      </w:r>
      <w:r>
        <w:rPr>
          <w:rFonts w:ascii="仿宋_GB2312" w:eastAsia="仿宋_GB2312" w:hAnsi="simsun" w:hint="eastAsia"/>
          <w:color w:val="000000"/>
          <w:sz w:val="33"/>
          <w:szCs w:val="33"/>
        </w:rPr>
        <w:lastRenderedPageBreak/>
        <w:t>津市河东区房产服务中心部门预算中没有使用国有资本经营预算安排的支出</w:t>
      </w:r>
      <w:r>
        <w:rPr>
          <w:rFonts w:ascii="仿宋_GB2312" w:eastAsia="仿宋_GB2312" w:hAnsi="simsun" w:hint="eastAsia"/>
          <w:color w:val="000000"/>
          <w:sz w:val="32"/>
          <w:szCs w:val="32"/>
        </w:rPr>
        <w:t>。</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left="640"/>
        <w:rPr>
          <w:rFonts w:ascii="simsun" w:hAnsi="simsun" w:hint="eastAsia"/>
          <w:color w:val="000000"/>
          <w:sz w:val="18"/>
          <w:szCs w:val="18"/>
        </w:rPr>
      </w:pPr>
      <w:r>
        <w:rPr>
          <w:rFonts w:ascii="楷体" w:eastAsia="楷体" w:hAnsi="楷体" w:hint="eastAsia"/>
          <w:b/>
          <w:bCs/>
          <w:color w:val="000000"/>
          <w:sz w:val="32"/>
          <w:szCs w:val="32"/>
        </w:rPr>
        <w:t>（二）具体情况</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jc w:val="both"/>
        <w:rPr>
          <w:rFonts w:ascii="simsun" w:hAnsi="simsun" w:hint="eastAsia"/>
          <w:color w:val="000000"/>
          <w:sz w:val="18"/>
          <w:szCs w:val="18"/>
        </w:rPr>
      </w:pPr>
      <w:r>
        <w:rPr>
          <w:rFonts w:ascii="仿宋_GB2312" w:eastAsia="仿宋_GB2312" w:hAnsi="simsun" w:hint="eastAsia"/>
          <w:color w:val="000000"/>
          <w:sz w:val="33"/>
          <w:szCs w:val="33"/>
        </w:rPr>
        <w:t>    </w:t>
      </w:r>
      <w:r>
        <w:rPr>
          <w:rFonts w:ascii="仿宋_GB2312" w:eastAsia="仿宋_GB2312" w:hAnsi="simsun" w:hint="eastAsia"/>
          <w:color w:val="000000"/>
          <w:sz w:val="33"/>
          <w:szCs w:val="33"/>
        </w:rPr>
        <w:t>“2024年天津市河东区房产服务中心单位预算中没有使用国有资本经营预算安排的支出”</w:t>
      </w:r>
      <w:r>
        <w:rPr>
          <w:rFonts w:ascii="simsun" w:hAnsi="simsun"/>
          <w:color w:val="000000"/>
          <w:sz w:val="32"/>
          <w:szCs w:val="32"/>
        </w:rPr>
        <w:t> </w:t>
      </w:r>
    </w:p>
    <w:p w:rsidR="00F57469" w:rsidRDefault="00F57469" w:rsidP="00F57469">
      <w:pPr>
        <w:pStyle w:val="a3"/>
        <w:wordWrap w:val="0"/>
        <w:spacing w:before="260" w:beforeAutospacing="0" w:after="260" w:afterAutospacing="0" w:line="600" w:lineRule="atLeast"/>
        <w:ind w:firstLine="640"/>
        <w:rPr>
          <w:rFonts w:ascii="simsun" w:hAnsi="simsun" w:hint="eastAsia"/>
          <w:color w:val="000000"/>
          <w:sz w:val="18"/>
          <w:szCs w:val="18"/>
        </w:rPr>
      </w:pPr>
      <w:r>
        <w:rPr>
          <w:rFonts w:ascii="黑体" w:eastAsia="黑体" w:hAnsi="黑体" w:hint="eastAsia"/>
          <w:color w:val="000000"/>
          <w:sz w:val="32"/>
          <w:szCs w:val="32"/>
        </w:rPr>
        <w:t>十、其他重要事项的情况说明</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643"/>
        <w:rPr>
          <w:rFonts w:ascii="simsun" w:hAnsi="simsun" w:hint="eastAsia"/>
          <w:color w:val="000000"/>
          <w:sz w:val="18"/>
          <w:szCs w:val="18"/>
        </w:rPr>
      </w:pPr>
      <w:r>
        <w:rPr>
          <w:rFonts w:ascii="楷体_GB2312" w:eastAsia="楷体_GB2312" w:hAnsi="simsun" w:hint="eastAsia"/>
          <w:b/>
          <w:bCs/>
          <w:color w:val="000000"/>
          <w:sz w:val="32"/>
          <w:szCs w:val="32"/>
        </w:rPr>
        <w:t>（一）机关运行经费</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640"/>
        <w:rPr>
          <w:rFonts w:ascii="simsun" w:hAnsi="simsun" w:hint="eastAsia"/>
          <w:color w:val="000000"/>
          <w:sz w:val="18"/>
          <w:szCs w:val="18"/>
        </w:rPr>
      </w:pPr>
      <w:r>
        <w:rPr>
          <w:rFonts w:ascii="仿宋_GB2312" w:eastAsia="仿宋_GB2312" w:hAnsi="simsun" w:hint="eastAsia"/>
          <w:color w:val="000000"/>
          <w:sz w:val="32"/>
          <w:szCs w:val="32"/>
        </w:rPr>
        <w:t>本单位2024年</w:t>
      </w:r>
      <w:r>
        <w:rPr>
          <w:rFonts w:ascii="仿宋_GB2312" w:eastAsia="仿宋_GB2312" w:hAnsi="simsun" w:hint="eastAsia"/>
          <w:color w:val="000000"/>
          <w:sz w:val="33"/>
          <w:szCs w:val="33"/>
        </w:rPr>
        <w:t>无机关运行费。</w:t>
      </w:r>
      <w:r>
        <w:rPr>
          <w:rFonts w:ascii="仿宋_GB2312" w:eastAsia="仿宋_GB2312" w:hAnsi="simsun" w:hint="eastAsia"/>
          <w:color w:val="000000"/>
          <w:sz w:val="32"/>
          <w:szCs w:val="32"/>
        </w:rPr>
        <w:t> </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643"/>
        <w:rPr>
          <w:rFonts w:ascii="simsun" w:hAnsi="simsun" w:hint="eastAsia"/>
          <w:color w:val="000000"/>
          <w:sz w:val="18"/>
          <w:szCs w:val="18"/>
        </w:rPr>
      </w:pPr>
      <w:r>
        <w:rPr>
          <w:rFonts w:ascii="楷体_GB2312" w:eastAsia="楷体_GB2312" w:hAnsi="simsun" w:hint="eastAsia"/>
          <w:b/>
          <w:bCs/>
          <w:color w:val="000000"/>
          <w:sz w:val="32"/>
          <w:szCs w:val="32"/>
        </w:rPr>
        <w:t>（二）政府采购情况</w:t>
      </w:r>
      <w:r>
        <w:rPr>
          <w:rFonts w:ascii="simsun" w:hAnsi="simsun"/>
          <w:color w:val="000000"/>
          <w:sz w:val="32"/>
          <w:szCs w:val="32"/>
        </w:rPr>
        <w:t> </w:t>
      </w:r>
    </w:p>
    <w:p w:rsidR="00F57469" w:rsidRDefault="00F57469" w:rsidP="00F57469">
      <w:pPr>
        <w:pStyle w:val="a3"/>
        <w:wordWrap w:val="0"/>
        <w:spacing w:before="0" w:beforeAutospacing="0" w:after="0" w:afterAutospacing="0" w:line="580" w:lineRule="atLeast"/>
        <w:ind w:firstLine="640"/>
        <w:jc w:val="both"/>
        <w:rPr>
          <w:rFonts w:ascii="simsun" w:hAnsi="simsun" w:hint="eastAsia"/>
          <w:color w:val="000000"/>
          <w:sz w:val="18"/>
          <w:szCs w:val="18"/>
        </w:rPr>
      </w:pPr>
      <w:r>
        <w:rPr>
          <w:rFonts w:ascii="仿宋_GB2312" w:eastAsia="仿宋_GB2312" w:hAnsi="simsun" w:hint="eastAsia"/>
          <w:color w:val="000000"/>
          <w:sz w:val="32"/>
          <w:szCs w:val="32"/>
        </w:rPr>
        <w:t>本部门2024年安排政府采购预算</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万元，其中：政府采购货物支出</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万元、政府采购工程支出</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万元、政府采购服务支出</w:t>
      </w:r>
      <w:r>
        <w:rPr>
          <w:rFonts w:ascii="仿宋_GB2312" w:eastAsia="仿宋_GB2312" w:hAnsi="simsun" w:hint="eastAsia"/>
          <w:color w:val="000000"/>
          <w:sz w:val="33"/>
          <w:szCs w:val="33"/>
        </w:rPr>
        <w:t>0</w:t>
      </w:r>
      <w:r>
        <w:rPr>
          <w:rFonts w:ascii="仿宋_GB2312" w:eastAsia="仿宋_GB2312" w:hAnsi="simsun" w:hint="eastAsia"/>
          <w:color w:val="000000"/>
          <w:sz w:val="32"/>
          <w:szCs w:val="32"/>
        </w:rPr>
        <w:t>万元。</w:t>
      </w:r>
      <w:r>
        <w:rPr>
          <w:rFonts w:ascii="仿宋_GB2312" w:eastAsia="仿宋_GB2312" w:hAnsi="simsun" w:hint="eastAsia"/>
          <w:color w:val="000000"/>
          <w:sz w:val="33"/>
          <w:szCs w:val="33"/>
        </w:rPr>
        <w:t>本单位2024年未安排政府采购预算。</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643"/>
        <w:rPr>
          <w:rFonts w:ascii="simsun" w:hAnsi="simsun" w:hint="eastAsia"/>
          <w:color w:val="000000"/>
          <w:sz w:val="18"/>
          <w:szCs w:val="18"/>
        </w:rPr>
      </w:pPr>
      <w:r>
        <w:rPr>
          <w:rFonts w:ascii="楷体_GB2312" w:eastAsia="楷体_GB2312" w:hAnsi="simsun" w:hint="eastAsia"/>
          <w:b/>
          <w:bCs/>
          <w:color w:val="000000"/>
          <w:sz w:val="32"/>
          <w:szCs w:val="32"/>
        </w:rPr>
        <w:t>（三）国有资产占用情况</w:t>
      </w:r>
      <w:r>
        <w:rPr>
          <w:rFonts w:ascii="simsun" w:hAnsi="simsun"/>
          <w:color w:val="000000"/>
          <w:sz w:val="32"/>
          <w:szCs w:val="32"/>
        </w:rPr>
        <w:t> </w:t>
      </w:r>
    </w:p>
    <w:p w:rsidR="00F57469" w:rsidRDefault="00F57469" w:rsidP="00F57469">
      <w:pPr>
        <w:pStyle w:val="a3"/>
        <w:wordWrap w:val="0"/>
        <w:spacing w:before="0" w:beforeAutospacing="0" w:after="0" w:afterAutospacing="0" w:line="580" w:lineRule="atLeast"/>
        <w:ind w:firstLine="640"/>
        <w:jc w:val="both"/>
        <w:rPr>
          <w:rFonts w:ascii="simsun" w:hAnsi="simsun" w:hint="eastAsia"/>
          <w:color w:val="000000"/>
          <w:sz w:val="18"/>
          <w:szCs w:val="18"/>
        </w:rPr>
      </w:pPr>
      <w:r>
        <w:rPr>
          <w:rFonts w:ascii="仿宋_GB2312" w:eastAsia="仿宋_GB2312" w:hAnsi="simsun" w:hint="eastAsia"/>
          <w:color w:val="000000"/>
          <w:sz w:val="32"/>
          <w:szCs w:val="32"/>
        </w:rPr>
        <w:t>截至2023年7月底，本部门各单位共有车辆</w:t>
      </w:r>
      <w:r w:rsidR="00B74DB5">
        <w:rPr>
          <w:rFonts w:ascii="仿宋_GB2312" w:eastAsia="仿宋_GB2312" w:hAnsi="simsun" w:hint="eastAsia"/>
          <w:color w:val="000000"/>
          <w:sz w:val="32"/>
          <w:szCs w:val="32"/>
        </w:rPr>
        <w:t>18</w:t>
      </w:r>
      <w:r>
        <w:rPr>
          <w:rFonts w:ascii="仿宋_GB2312" w:eastAsia="仿宋_GB2312" w:hAnsi="simsun" w:hint="eastAsia"/>
          <w:color w:val="000000"/>
          <w:sz w:val="32"/>
          <w:szCs w:val="32"/>
        </w:rPr>
        <w:t>辆，其中：副部（省）级及以上领导用车0辆、主要领导干部用车0辆、机要通信用车0辆、应急保障用车0辆、执法执勤用车0辆、特种专业技术用车0辆、离退休干部用车0辆、其他用车</w:t>
      </w:r>
      <w:r w:rsidR="00B74DB5">
        <w:rPr>
          <w:rFonts w:ascii="仿宋_GB2312" w:eastAsia="仿宋_GB2312" w:hAnsi="simsun" w:hint="eastAsia"/>
          <w:color w:val="000000"/>
          <w:sz w:val="32"/>
          <w:szCs w:val="32"/>
        </w:rPr>
        <w:t>18</w:t>
      </w:r>
      <w:r>
        <w:rPr>
          <w:rFonts w:ascii="仿宋_GB2312" w:eastAsia="仿宋_GB2312" w:hAnsi="simsun" w:hint="eastAsia"/>
          <w:color w:val="000000"/>
          <w:sz w:val="32"/>
          <w:szCs w:val="32"/>
        </w:rPr>
        <w:t>辆，</w:t>
      </w:r>
      <w:r>
        <w:rPr>
          <w:rFonts w:ascii="仿宋_GB2312" w:eastAsia="仿宋_GB2312" w:hAnsi="simsun" w:hint="eastAsia"/>
          <w:color w:val="000000"/>
          <w:sz w:val="33"/>
          <w:szCs w:val="33"/>
        </w:rPr>
        <w:t>无其他用车辆</w:t>
      </w:r>
      <w:r>
        <w:rPr>
          <w:rFonts w:ascii="仿宋_GB2312" w:eastAsia="仿宋_GB2312" w:hAnsi="simsun" w:hint="eastAsia"/>
          <w:color w:val="000000"/>
          <w:sz w:val="32"/>
          <w:szCs w:val="32"/>
        </w:rPr>
        <w:t>。单价50万元以上的设备0台（套），单价100万元以上的设备0台（套）。</w:t>
      </w:r>
      <w:r>
        <w:rPr>
          <w:rFonts w:ascii="simsun" w:hAnsi="simsun"/>
          <w:color w:val="000000"/>
          <w:sz w:val="32"/>
          <w:szCs w:val="32"/>
        </w:rPr>
        <w:t> </w:t>
      </w:r>
    </w:p>
    <w:p w:rsidR="00F57469" w:rsidRDefault="00F57469" w:rsidP="00F57469">
      <w:pPr>
        <w:pStyle w:val="a3"/>
        <w:wordWrap w:val="0"/>
        <w:spacing w:before="0" w:beforeAutospacing="0" w:after="0" w:afterAutospacing="0" w:line="600" w:lineRule="atLeast"/>
        <w:ind w:firstLine="643"/>
        <w:rPr>
          <w:rFonts w:ascii="simsun" w:hAnsi="simsun" w:hint="eastAsia"/>
          <w:color w:val="000000"/>
          <w:sz w:val="18"/>
          <w:szCs w:val="18"/>
        </w:rPr>
      </w:pPr>
      <w:r>
        <w:rPr>
          <w:rFonts w:ascii="楷体_GB2312" w:eastAsia="楷体_GB2312" w:hAnsi="simsun" w:hint="eastAsia"/>
          <w:b/>
          <w:bCs/>
          <w:color w:val="000000"/>
          <w:sz w:val="32"/>
          <w:szCs w:val="32"/>
        </w:rPr>
        <w:t>（四）预算绩效情况说明</w:t>
      </w:r>
      <w:r>
        <w:rPr>
          <w:rFonts w:ascii="simsun" w:hAnsi="simsun"/>
          <w:color w:val="000000"/>
          <w:sz w:val="32"/>
          <w:szCs w:val="32"/>
        </w:rPr>
        <w:t> </w:t>
      </w:r>
    </w:p>
    <w:p w:rsidR="00F57469" w:rsidRDefault="00F57469" w:rsidP="00F57469">
      <w:pPr>
        <w:pStyle w:val="a3"/>
        <w:wordWrap w:val="0"/>
        <w:spacing w:before="0" w:beforeAutospacing="0" w:after="0" w:afterAutospacing="0" w:line="580" w:lineRule="atLeast"/>
        <w:ind w:firstLine="640"/>
        <w:jc w:val="both"/>
        <w:rPr>
          <w:rFonts w:ascii="simsun" w:hAnsi="simsun" w:hint="eastAsia"/>
          <w:color w:val="000000"/>
          <w:sz w:val="18"/>
          <w:szCs w:val="18"/>
        </w:rPr>
      </w:pPr>
      <w:r>
        <w:rPr>
          <w:rFonts w:ascii="仿宋_GB2312" w:eastAsia="仿宋_GB2312" w:hAnsi="simsun" w:hint="eastAsia"/>
          <w:color w:val="000000"/>
          <w:sz w:val="32"/>
          <w:szCs w:val="32"/>
        </w:rPr>
        <w:lastRenderedPageBreak/>
        <w:t>本部门2024年实行绩效目标管理的项目</w:t>
      </w:r>
      <w:r>
        <w:rPr>
          <w:rFonts w:ascii="仿宋_GB2312" w:eastAsia="仿宋_GB2312" w:hAnsi="simsun" w:hint="eastAsia"/>
          <w:color w:val="000000"/>
          <w:sz w:val="33"/>
          <w:szCs w:val="33"/>
        </w:rPr>
        <w:t>6</w:t>
      </w:r>
      <w:r>
        <w:rPr>
          <w:rFonts w:ascii="仿宋_GB2312" w:eastAsia="仿宋_GB2312" w:hAnsi="simsun" w:hint="eastAsia"/>
          <w:color w:val="000000"/>
          <w:sz w:val="32"/>
          <w:szCs w:val="32"/>
        </w:rPr>
        <w:t>个，涉及预算金额</w:t>
      </w:r>
      <w:r>
        <w:rPr>
          <w:rFonts w:ascii="仿宋_GB2312" w:eastAsia="仿宋_GB2312" w:hAnsi="simsun" w:hint="eastAsia"/>
          <w:color w:val="000000"/>
          <w:sz w:val="33"/>
          <w:szCs w:val="33"/>
        </w:rPr>
        <w:t>932.914068</w:t>
      </w:r>
      <w:r>
        <w:rPr>
          <w:rFonts w:ascii="仿宋_GB2312" w:eastAsia="仿宋_GB2312" w:hAnsi="simsun" w:hint="eastAsia"/>
          <w:color w:val="000000"/>
          <w:sz w:val="32"/>
          <w:szCs w:val="32"/>
        </w:rPr>
        <w:t>万元。</w:t>
      </w:r>
      <w:r>
        <w:rPr>
          <w:rFonts w:ascii="simsun" w:hAnsi="simsun"/>
          <w:color w:val="000000"/>
          <w:sz w:val="30"/>
          <w:szCs w:val="30"/>
        </w:rPr>
        <w:t> </w:t>
      </w:r>
    </w:p>
    <w:p w:rsidR="00F57469" w:rsidRDefault="00F57469" w:rsidP="00F57469">
      <w:pPr>
        <w:pStyle w:val="a3"/>
        <w:wordWrap w:val="0"/>
        <w:spacing w:before="0" w:beforeAutospacing="0" w:after="0" w:afterAutospacing="0" w:line="580" w:lineRule="atLeast"/>
        <w:ind w:left="202" w:firstLine="480"/>
        <w:jc w:val="both"/>
        <w:rPr>
          <w:rFonts w:ascii="simsun" w:hAnsi="simsun" w:hint="eastAsia"/>
          <w:color w:val="000000"/>
          <w:sz w:val="18"/>
          <w:szCs w:val="18"/>
        </w:rPr>
      </w:pPr>
      <w:r>
        <w:rPr>
          <w:rFonts w:ascii="仿宋_GB2312" w:eastAsia="仿宋_GB2312" w:hAnsi="simsun" w:hint="eastAsia"/>
          <w:color w:val="000000"/>
          <w:sz w:val="32"/>
          <w:szCs w:val="32"/>
        </w:rPr>
        <w:br/>
      </w:r>
      <w:r>
        <w:rPr>
          <w:rFonts w:ascii="simsun" w:hAnsi="simsun"/>
          <w:color w:val="000000"/>
          <w:sz w:val="32"/>
          <w:szCs w:val="32"/>
        </w:rPr>
        <w:t> </w:t>
      </w:r>
    </w:p>
    <w:p w:rsidR="00F57469" w:rsidRDefault="00F57469" w:rsidP="00F57469">
      <w:pPr>
        <w:pStyle w:val="a3"/>
        <w:wordWrap w:val="0"/>
        <w:spacing w:before="340" w:beforeAutospacing="0" w:after="330" w:afterAutospacing="0" w:line="600" w:lineRule="atLeast"/>
        <w:jc w:val="center"/>
        <w:rPr>
          <w:rFonts w:ascii="simsun" w:hAnsi="simsun" w:hint="eastAsia"/>
          <w:color w:val="000000"/>
          <w:sz w:val="18"/>
          <w:szCs w:val="18"/>
        </w:rPr>
      </w:pPr>
      <w:r>
        <w:rPr>
          <w:rFonts w:ascii="方正小标宋简体" w:eastAsia="方正小标宋简体" w:hAnsi="simsun" w:hint="eastAsia"/>
          <w:color w:val="000000"/>
          <w:sz w:val="52"/>
          <w:szCs w:val="52"/>
        </w:rPr>
        <w:t>第三部分</w:t>
      </w:r>
      <w:r>
        <w:rPr>
          <w:rFonts w:ascii="方正小标宋简体" w:eastAsia="方正小标宋简体" w:hAnsi="simsun" w:hint="eastAsia"/>
          <w:color w:val="000000"/>
          <w:sz w:val="52"/>
          <w:szCs w:val="52"/>
        </w:rPr>
        <w:t>  </w:t>
      </w:r>
      <w:r>
        <w:rPr>
          <w:rFonts w:ascii="方正小标宋简体" w:eastAsia="方正小标宋简体" w:hAnsi="simsun" w:hint="eastAsia"/>
          <w:color w:val="000000"/>
          <w:sz w:val="52"/>
          <w:szCs w:val="52"/>
        </w:rPr>
        <w:t>名词解释</w:t>
      </w:r>
      <w:r>
        <w:rPr>
          <w:rFonts w:ascii="simsun" w:hAnsi="simsun"/>
          <w:color w:val="000000"/>
          <w:sz w:val="52"/>
          <w:szCs w:val="52"/>
        </w:rPr>
        <w:t> </w:t>
      </w:r>
    </w:p>
    <w:p w:rsidR="00F57469" w:rsidRDefault="00F57469" w:rsidP="00F57469">
      <w:pPr>
        <w:pStyle w:val="a3"/>
        <w:wordWrap w:val="0"/>
        <w:spacing w:before="0" w:beforeAutospacing="0" w:after="0" w:afterAutospacing="0" w:line="600" w:lineRule="atLeast"/>
        <w:ind w:firstLine="600"/>
        <w:rPr>
          <w:rFonts w:ascii="simsun" w:hAnsi="simsun" w:hint="eastAsia"/>
          <w:color w:val="000000"/>
          <w:sz w:val="18"/>
          <w:szCs w:val="18"/>
        </w:rPr>
      </w:pPr>
      <w:r>
        <w:rPr>
          <w:rFonts w:ascii="Times New Roman" w:hAnsi="Times New Roman" w:cs="Times New Roman"/>
          <w:color w:val="000000"/>
          <w:sz w:val="21"/>
          <w:szCs w:val="21"/>
        </w:rPr>
        <w:t> </w:t>
      </w:r>
      <w:r>
        <w:rPr>
          <w:rFonts w:ascii="simsun" w:hAnsi="simsun"/>
          <w:color w:val="000000"/>
          <w:sz w:val="30"/>
          <w:szCs w:val="30"/>
        </w:rPr>
        <w:t> </w:t>
      </w:r>
    </w:p>
    <w:p w:rsidR="00F57469" w:rsidRDefault="00F57469" w:rsidP="00F57469">
      <w:pPr>
        <w:pStyle w:val="a3"/>
        <w:wordWrap w:val="0"/>
        <w:spacing w:before="0" w:beforeAutospacing="0" w:after="0" w:afterAutospacing="0" w:line="580" w:lineRule="atLeast"/>
        <w:ind w:firstLine="640"/>
        <w:rPr>
          <w:rFonts w:ascii="simsun" w:hAnsi="simsun" w:hint="eastAsia"/>
          <w:color w:val="000000"/>
          <w:sz w:val="18"/>
          <w:szCs w:val="18"/>
        </w:rPr>
      </w:pPr>
      <w:r>
        <w:rPr>
          <w:rFonts w:ascii="仿宋_GB2312" w:eastAsia="仿宋_GB2312" w:hAnsi="simsun" w:hint="eastAsia"/>
          <w:color w:val="000000"/>
          <w:sz w:val="32"/>
          <w:szCs w:val="32"/>
        </w:rPr>
        <w:t>1.部门预算。是指主管预算部门依据相关法律、法规和政策规定及其行使职能需要，组织所属预算单位编制并逐级上报、审核、汇总，经财政部门审核后按程序依法批准的部门综合收支计划。</w:t>
      </w:r>
      <w:r>
        <w:rPr>
          <w:rFonts w:ascii="simsun" w:hAnsi="simsun"/>
          <w:color w:val="000000"/>
          <w:sz w:val="32"/>
          <w:szCs w:val="32"/>
        </w:rPr>
        <w:t> </w:t>
      </w:r>
    </w:p>
    <w:p w:rsidR="00F57469" w:rsidRDefault="00F57469" w:rsidP="00F57469">
      <w:pPr>
        <w:pStyle w:val="a3"/>
        <w:wordWrap w:val="0"/>
        <w:spacing w:before="0" w:beforeAutospacing="0" w:after="0" w:afterAutospacing="0" w:line="580" w:lineRule="atLeast"/>
        <w:ind w:firstLine="640"/>
        <w:rPr>
          <w:rFonts w:ascii="simsun" w:hAnsi="simsun" w:hint="eastAsia"/>
          <w:color w:val="000000"/>
          <w:sz w:val="18"/>
          <w:szCs w:val="18"/>
        </w:rPr>
      </w:pPr>
      <w:r>
        <w:rPr>
          <w:rFonts w:ascii="仿宋_GB2312" w:eastAsia="仿宋_GB2312" w:hAnsi="simsun" w:hint="eastAsia"/>
          <w:color w:val="000000"/>
          <w:sz w:val="32"/>
          <w:szCs w:val="32"/>
        </w:rPr>
        <w:t>2.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r>
        <w:rPr>
          <w:rFonts w:ascii="simsun" w:hAnsi="simsun"/>
          <w:color w:val="000000"/>
          <w:sz w:val="32"/>
          <w:szCs w:val="32"/>
        </w:rPr>
        <w:t> </w:t>
      </w:r>
    </w:p>
    <w:p w:rsidR="00F57469" w:rsidRDefault="00F57469" w:rsidP="00F57469">
      <w:pPr>
        <w:pStyle w:val="a3"/>
        <w:wordWrap w:val="0"/>
        <w:spacing w:before="0" w:beforeAutospacing="0" w:after="0" w:afterAutospacing="0" w:line="580" w:lineRule="atLeast"/>
        <w:ind w:firstLine="640"/>
        <w:jc w:val="both"/>
        <w:rPr>
          <w:rFonts w:ascii="simsun" w:hAnsi="simsun" w:hint="eastAsia"/>
          <w:color w:val="000000"/>
          <w:sz w:val="18"/>
          <w:szCs w:val="18"/>
        </w:rPr>
      </w:pPr>
      <w:r>
        <w:rPr>
          <w:rFonts w:ascii="仿宋_GB2312" w:eastAsia="仿宋_GB2312" w:hAnsi="simsun" w:hint="eastAsia"/>
          <w:color w:val="000000"/>
          <w:sz w:val="32"/>
          <w:szCs w:val="32"/>
        </w:rPr>
        <w:t>3.无其他专业性名词解释。</w:t>
      </w:r>
      <w:r>
        <w:rPr>
          <w:rFonts w:ascii="simsun" w:hAnsi="simsun"/>
          <w:color w:val="000000"/>
          <w:sz w:val="32"/>
          <w:szCs w:val="32"/>
        </w:rPr>
        <w:t> </w:t>
      </w:r>
    </w:p>
    <w:p w:rsidR="00F57469" w:rsidRDefault="00F57469" w:rsidP="00F57469">
      <w:pPr>
        <w:pStyle w:val="a3"/>
        <w:wordWrap w:val="0"/>
        <w:spacing w:before="0" w:beforeAutospacing="0" w:after="0" w:afterAutospacing="0" w:line="580" w:lineRule="atLeast"/>
        <w:ind w:firstLine="640"/>
        <w:jc w:val="both"/>
        <w:rPr>
          <w:rFonts w:ascii="simsun" w:hAnsi="simsun" w:hint="eastAsia"/>
          <w:color w:val="000000"/>
          <w:sz w:val="18"/>
          <w:szCs w:val="18"/>
        </w:rPr>
      </w:pPr>
      <w:r>
        <w:rPr>
          <w:rFonts w:ascii="仿宋_GB2312" w:eastAsia="仿宋_GB2312" w:hAnsi="simsun" w:hint="eastAsia"/>
          <w:color w:val="000000"/>
          <w:sz w:val="32"/>
          <w:szCs w:val="32"/>
        </w:rPr>
        <w:br/>
      </w:r>
      <w:r>
        <w:rPr>
          <w:rFonts w:ascii="simsun" w:hAnsi="simsun"/>
          <w:color w:val="000000"/>
          <w:sz w:val="32"/>
          <w:szCs w:val="32"/>
        </w:rPr>
        <w:t> </w:t>
      </w:r>
    </w:p>
    <w:p w:rsidR="00F57469" w:rsidRDefault="00F57469" w:rsidP="00F57469">
      <w:pPr>
        <w:pStyle w:val="a3"/>
        <w:wordWrap w:val="0"/>
        <w:spacing w:before="340" w:beforeAutospacing="0" w:after="330" w:afterAutospacing="0" w:line="600" w:lineRule="atLeast"/>
        <w:jc w:val="center"/>
        <w:rPr>
          <w:rFonts w:ascii="simsun" w:hAnsi="simsun" w:hint="eastAsia"/>
          <w:color w:val="000000"/>
          <w:sz w:val="18"/>
          <w:szCs w:val="18"/>
        </w:rPr>
      </w:pPr>
      <w:r>
        <w:rPr>
          <w:rFonts w:ascii="方正小标宋简体" w:eastAsia="方正小标宋简体" w:hAnsi="simsun" w:hint="eastAsia"/>
          <w:color w:val="000000"/>
          <w:sz w:val="52"/>
          <w:szCs w:val="52"/>
        </w:rPr>
        <w:t>第四部分</w:t>
      </w:r>
      <w:r>
        <w:rPr>
          <w:rFonts w:ascii="方正小标宋简体" w:eastAsia="方正小标宋简体" w:hAnsi="simsun" w:hint="eastAsia"/>
          <w:color w:val="000000"/>
          <w:sz w:val="52"/>
          <w:szCs w:val="52"/>
        </w:rPr>
        <w:t>  </w:t>
      </w:r>
      <w:r>
        <w:rPr>
          <w:rFonts w:ascii="方正小标宋简体" w:eastAsia="方正小标宋简体" w:hAnsi="simsun" w:hint="eastAsia"/>
          <w:color w:val="000000"/>
          <w:sz w:val="52"/>
          <w:szCs w:val="52"/>
        </w:rPr>
        <w:t>2024年预算表</w:t>
      </w:r>
      <w:r>
        <w:rPr>
          <w:rFonts w:ascii="simsun" w:hAnsi="simsun"/>
          <w:color w:val="000000"/>
          <w:sz w:val="52"/>
          <w:szCs w:val="52"/>
        </w:rPr>
        <w:t> </w:t>
      </w:r>
    </w:p>
    <w:p w:rsidR="00F57469" w:rsidRDefault="00F57469" w:rsidP="00F57469">
      <w:pPr>
        <w:pStyle w:val="a3"/>
        <w:wordWrap w:val="0"/>
        <w:spacing w:before="0" w:beforeAutospacing="0" w:after="0" w:afterAutospacing="0" w:line="560" w:lineRule="atLeast"/>
        <w:ind w:left="640"/>
        <w:rPr>
          <w:rFonts w:ascii="simsun" w:hAnsi="simsun" w:hint="eastAsia"/>
          <w:color w:val="000000"/>
          <w:sz w:val="18"/>
          <w:szCs w:val="18"/>
        </w:rPr>
      </w:pPr>
      <w:r>
        <w:rPr>
          <w:rFonts w:ascii="楷体_GB2312" w:eastAsia="楷体_GB2312" w:hAnsi="simsun" w:hint="eastAsia"/>
          <w:b/>
          <w:bCs/>
          <w:color w:val="000000"/>
          <w:sz w:val="32"/>
          <w:szCs w:val="32"/>
        </w:rPr>
        <w:lastRenderedPageBreak/>
        <w:t>一、《单位收支总体情况表》</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left="640"/>
        <w:rPr>
          <w:rFonts w:ascii="simsun" w:hAnsi="simsun" w:hint="eastAsia"/>
          <w:color w:val="000000"/>
          <w:sz w:val="18"/>
          <w:szCs w:val="18"/>
        </w:rPr>
      </w:pPr>
      <w:r>
        <w:rPr>
          <w:rFonts w:ascii="楷体_GB2312" w:eastAsia="楷体_GB2312" w:hAnsi="simsun" w:hint="eastAsia"/>
          <w:b/>
          <w:bCs/>
          <w:color w:val="000000"/>
          <w:sz w:val="32"/>
          <w:szCs w:val="32"/>
        </w:rPr>
        <w:t>二、《单位收入总体情况表》</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left="640"/>
        <w:rPr>
          <w:rFonts w:ascii="simsun" w:hAnsi="simsun" w:hint="eastAsia"/>
          <w:color w:val="000000"/>
          <w:sz w:val="18"/>
          <w:szCs w:val="18"/>
        </w:rPr>
      </w:pPr>
      <w:r>
        <w:rPr>
          <w:rFonts w:ascii="楷体_GB2312" w:eastAsia="楷体_GB2312" w:hAnsi="simsun" w:hint="eastAsia"/>
          <w:b/>
          <w:bCs/>
          <w:color w:val="000000"/>
          <w:sz w:val="32"/>
          <w:szCs w:val="32"/>
        </w:rPr>
        <w:t>三、《单位支出总体情况表》</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left="640"/>
        <w:rPr>
          <w:rFonts w:ascii="simsun" w:hAnsi="simsun" w:hint="eastAsia"/>
          <w:color w:val="000000"/>
          <w:sz w:val="18"/>
          <w:szCs w:val="18"/>
        </w:rPr>
      </w:pPr>
      <w:r>
        <w:rPr>
          <w:rFonts w:ascii="楷体_GB2312" w:eastAsia="楷体_GB2312" w:hAnsi="simsun" w:hint="eastAsia"/>
          <w:b/>
          <w:bCs/>
          <w:color w:val="000000"/>
          <w:sz w:val="32"/>
          <w:szCs w:val="32"/>
        </w:rPr>
        <w:t>四、《财政拨款收支总体情况表》</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left="640"/>
        <w:rPr>
          <w:rFonts w:ascii="simsun" w:hAnsi="simsun" w:hint="eastAsia"/>
          <w:color w:val="000000"/>
          <w:sz w:val="18"/>
          <w:szCs w:val="18"/>
        </w:rPr>
      </w:pPr>
      <w:r>
        <w:rPr>
          <w:rFonts w:ascii="楷体_GB2312" w:eastAsia="楷体_GB2312" w:hAnsi="simsun" w:hint="eastAsia"/>
          <w:b/>
          <w:bCs/>
          <w:color w:val="000000"/>
          <w:sz w:val="32"/>
          <w:szCs w:val="32"/>
        </w:rPr>
        <w:t>五、《一般公共预算支出情况表》</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left="640"/>
        <w:rPr>
          <w:rFonts w:ascii="simsun" w:hAnsi="simsun" w:hint="eastAsia"/>
          <w:color w:val="000000"/>
          <w:sz w:val="18"/>
          <w:szCs w:val="18"/>
        </w:rPr>
      </w:pPr>
      <w:r>
        <w:rPr>
          <w:rFonts w:ascii="楷体_GB2312" w:eastAsia="楷体_GB2312" w:hAnsi="simsun" w:hint="eastAsia"/>
          <w:b/>
          <w:bCs/>
          <w:color w:val="000000"/>
          <w:sz w:val="32"/>
          <w:szCs w:val="32"/>
        </w:rPr>
        <w:t>六、《一般公共预算基本支出情况表》</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left="640"/>
        <w:rPr>
          <w:rFonts w:ascii="simsun" w:hAnsi="simsun" w:hint="eastAsia"/>
          <w:color w:val="000000"/>
          <w:sz w:val="18"/>
          <w:szCs w:val="18"/>
        </w:rPr>
      </w:pPr>
      <w:r>
        <w:rPr>
          <w:rFonts w:ascii="楷体_GB2312" w:eastAsia="楷体_GB2312" w:hAnsi="simsun" w:hint="eastAsia"/>
          <w:b/>
          <w:bCs/>
          <w:color w:val="000000"/>
          <w:sz w:val="32"/>
          <w:szCs w:val="32"/>
        </w:rPr>
        <w:t>七、《一般公共预算“三公”经费支出情况表》</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left="640"/>
        <w:rPr>
          <w:rFonts w:ascii="simsun" w:hAnsi="simsun" w:hint="eastAsia"/>
          <w:color w:val="000000"/>
          <w:sz w:val="18"/>
          <w:szCs w:val="18"/>
        </w:rPr>
      </w:pPr>
      <w:r>
        <w:rPr>
          <w:rFonts w:ascii="楷体_GB2312" w:eastAsia="楷体_GB2312" w:hAnsi="simsun" w:hint="eastAsia"/>
          <w:b/>
          <w:bCs/>
          <w:color w:val="000000"/>
          <w:sz w:val="32"/>
          <w:szCs w:val="32"/>
        </w:rPr>
        <w:t>八、《政府性基金预算支出情况表》</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left="640"/>
        <w:rPr>
          <w:rFonts w:ascii="simsun" w:hAnsi="simsun" w:hint="eastAsia"/>
          <w:color w:val="000000"/>
          <w:sz w:val="18"/>
          <w:szCs w:val="18"/>
        </w:rPr>
      </w:pPr>
      <w:r>
        <w:rPr>
          <w:rFonts w:ascii="楷体_GB2312" w:eastAsia="楷体_GB2312" w:hAnsi="simsun" w:hint="eastAsia"/>
          <w:b/>
          <w:bCs/>
          <w:color w:val="000000"/>
          <w:sz w:val="32"/>
          <w:szCs w:val="32"/>
        </w:rPr>
        <w:t>九、《国有资本经营预算支出情况表》</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left="640"/>
        <w:rPr>
          <w:rFonts w:ascii="simsun" w:hAnsi="simsun" w:hint="eastAsia"/>
          <w:color w:val="000000"/>
          <w:sz w:val="18"/>
          <w:szCs w:val="18"/>
        </w:rPr>
      </w:pPr>
      <w:r>
        <w:rPr>
          <w:rFonts w:ascii="楷体_GB2312" w:eastAsia="楷体_GB2312" w:hAnsi="simsun" w:hint="eastAsia"/>
          <w:b/>
          <w:bCs/>
          <w:color w:val="000000"/>
          <w:sz w:val="32"/>
          <w:szCs w:val="32"/>
        </w:rPr>
        <w:t>十、《项目支出表》</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left="640"/>
        <w:rPr>
          <w:rFonts w:ascii="simsun" w:hAnsi="simsun" w:hint="eastAsia"/>
          <w:color w:val="000000"/>
          <w:sz w:val="18"/>
          <w:szCs w:val="18"/>
        </w:rPr>
      </w:pPr>
      <w:r>
        <w:rPr>
          <w:rFonts w:ascii="楷体_GB2312" w:eastAsia="楷体_GB2312" w:hAnsi="simsun" w:hint="eastAsia"/>
          <w:b/>
          <w:bCs/>
          <w:color w:val="000000"/>
          <w:sz w:val="32"/>
          <w:szCs w:val="32"/>
        </w:rPr>
        <w:t>十一、关于空表的说明</w:t>
      </w:r>
      <w:r>
        <w:rPr>
          <w:rFonts w:ascii="楷体_GB2312" w:eastAsia="楷体_GB2312" w:hAnsi="simsun" w:hint="eastAsia"/>
          <w:b/>
          <w:bCs/>
          <w:color w:val="000000"/>
          <w:sz w:val="32"/>
          <w:szCs w:val="32"/>
        </w:rPr>
        <w:t>    </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firstLine="640"/>
        <w:jc w:val="both"/>
        <w:rPr>
          <w:rFonts w:ascii="simsun" w:hAnsi="simsun" w:hint="eastAsia"/>
          <w:color w:val="000000"/>
          <w:sz w:val="18"/>
          <w:szCs w:val="18"/>
        </w:rPr>
      </w:pPr>
      <w:r>
        <w:rPr>
          <w:rFonts w:ascii="楷体_GB2312" w:eastAsia="楷体_GB2312" w:hAnsi="simsun" w:hint="eastAsia"/>
          <w:color w:val="000000"/>
          <w:sz w:val="33"/>
          <w:szCs w:val="33"/>
        </w:rPr>
        <w:t>本单位2024年一般公共预算“三公”经费支出情况表为空表。</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firstLine="640"/>
        <w:jc w:val="both"/>
        <w:rPr>
          <w:rFonts w:ascii="simsun" w:hAnsi="simsun" w:hint="eastAsia"/>
          <w:color w:val="000000"/>
          <w:sz w:val="18"/>
          <w:szCs w:val="18"/>
        </w:rPr>
      </w:pPr>
      <w:r>
        <w:rPr>
          <w:rFonts w:ascii="楷体_GB2312" w:eastAsia="楷体_GB2312" w:hAnsi="simsun" w:hint="eastAsia"/>
          <w:color w:val="000000"/>
          <w:sz w:val="33"/>
          <w:szCs w:val="33"/>
        </w:rPr>
        <w:t>本单位2024年国有资本经营预算支出情况表为空表。</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firstLine="640"/>
        <w:rPr>
          <w:rFonts w:ascii="simsun" w:hAnsi="simsun" w:hint="eastAsia"/>
          <w:color w:val="000000"/>
          <w:sz w:val="18"/>
          <w:szCs w:val="18"/>
        </w:rPr>
      </w:pPr>
      <w:r>
        <w:rPr>
          <w:rFonts w:ascii="Times New Roman" w:hAnsi="Times New Roman" w:cs="Times New Roman"/>
          <w:color w:val="000000"/>
          <w:sz w:val="21"/>
          <w:szCs w:val="21"/>
        </w:rPr>
        <w:t> </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rPr>
          <w:rFonts w:ascii="simsun" w:hAnsi="simsun" w:hint="eastAsia"/>
          <w:color w:val="000000"/>
          <w:sz w:val="18"/>
          <w:szCs w:val="18"/>
        </w:rPr>
      </w:pPr>
      <w:r>
        <w:rPr>
          <w:rFonts w:ascii="Times New Roman" w:hAnsi="Times New Roman" w:cs="Times New Roman"/>
          <w:color w:val="000000"/>
          <w:sz w:val="21"/>
          <w:szCs w:val="21"/>
        </w:rPr>
        <w:t> </w:t>
      </w:r>
      <w:r>
        <w:rPr>
          <w:rFonts w:ascii="simsun" w:hAnsi="simsun"/>
          <w:color w:val="000000"/>
          <w:sz w:val="32"/>
          <w:szCs w:val="32"/>
        </w:rPr>
        <w:t> </w:t>
      </w:r>
    </w:p>
    <w:p w:rsidR="00F57469" w:rsidRDefault="00F57469" w:rsidP="00F57469">
      <w:pPr>
        <w:pStyle w:val="a3"/>
        <w:wordWrap w:val="0"/>
        <w:spacing w:before="0" w:beforeAutospacing="0" w:after="0" w:afterAutospacing="0" w:line="560" w:lineRule="atLeast"/>
        <w:ind w:firstLine="640"/>
        <w:rPr>
          <w:rFonts w:ascii="simsun" w:hAnsi="simsun" w:hint="eastAsia"/>
          <w:color w:val="000000"/>
          <w:sz w:val="18"/>
          <w:szCs w:val="18"/>
        </w:rPr>
      </w:pPr>
      <w:r>
        <w:rPr>
          <w:rFonts w:ascii="楷体" w:eastAsia="楷体" w:hAnsi="楷体" w:hint="eastAsia"/>
          <w:color w:val="000000"/>
          <w:sz w:val="32"/>
          <w:szCs w:val="32"/>
        </w:rPr>
        <w:t>注：以上预算公开表均作为附表，附于预算公开说明文档后。</w:t>
      </w:r>
      <w:r>
        <w:rPr>
          <w:rFonts w:ascii="simsun" w:hAnsi="simsun"/>
          <w:color w:val="000000"/>
          <w:sz w:val="32"/>
          <w:szCs w:val="32"/>
        </w:rPr>
        <w:t> </w:t>
      </w:r>
    </w:p>
    <w:p w:rsidR="002B19A0" w:rsidRPr="00F57469" w:rsidRDefault="002B19A0">
      <w:bookmarkStart w:id="0" w:name="_GoBack"/>
      <w:bookmarkEnd w:id="0"/>
    </w:p>
    <w:sectPr w:rsidR="002B19A0" w:rsidRPr="00F57469" w:rsidSect="00872B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842" w:rsidRDefault="00E14842" w:rsidP="00B74DB5">
      <w:r>
        <w:separator/>
      </w:r>
    </w:p>
  </w:endnote>
  <w:endnote w:type="continuationSeparator" w:id="1">
    <w:p w:rsidR="00E14842" w:rsidRDefault="00E14842" w:rsidP="00B74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842" w:rsidRDefault="00E14842" w:rsidP="00B74DB5">
      <w:r>
        <w:separator/>
      </w:r>
    </w:p>
  </w:footnote>
  <w:footnote w:type="continuationSeparator" w:id="1">
    <w:p w:rsidR="00E14842" w:rsidRDefault="00E14842" w:rsidP="00B74D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469"/>
    <w:rsid w:val="002B19A0"/>
    <w:rsid w:val="00872B1F"/>
    <w:rsid w:val="00B74DB5"/>
    <w:rsid w:val="00E14842"/>
    <w:rsid w:val="00F574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B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46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74D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74DB5"/>
    <w:rPr>
      <w:sz w:val="18"/>
      <w:szCs w:val="18"/>
    </w:rPr>
  </w:style>
  <w:style w:type="paragraph" w:styleId="a5">
    <w:name w:val="footer"/>
    <w:basedOn w:val="a"/>
    <w:link w:val="Char0"/>
    <w:uiPriority w:val="99"/>
    <w:semiHidden/>
    <w:unhideWhenUsed/>
    <w:rsid w:val="00B74DB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74DB5"/>
    <w:rPr>
      <w:sz w:val="18"/>
      <w:szCs w:val="18"/>
    </w:rPr>
  </w:style>
</w:styles>
</file>

<file path=word/webSettings.xml><?xml version="1.0" encoding="utf-8"?>
<w:webSettings xmlns:r="http://schemas.openxmlformats.org/officeDocument/2006/relationships" xmlns:w="http://schemas.openxmlformats.org/wordprocessingml/2006/main">
  <w:divs>
    <w:div w:id="915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天津市河东区春华房管站</dc:creator>
  <cp:keywords/>
  <dc:description/>
  <cp:lastModifiedBy>dell</cp:lastModifiedBy>
  <cp:revision>2</cp:revision>
  <dcterms:created xsi:type="dcterms:W3CDTF">2024-02-26T07:19:00Z</dcterms:created>
  <dcterms:modified xsi:type="dcterms:W3CDTF">2024-02-26T07:41:00Z</dcterms:modified>
</cp:coreProperties>
</file>